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EB94D" w14:textId="305B9EBA" w:rsidR="00C66AC0" w:rsidRDefault="00C66AC0"/>
    <w:p w14:paraId="45E5142C" w14:textId="0043A438" w:rsidR="007920F8" w:rsidRPr="007920F8" w:rsidRDefault="007920F8" w:rsidP="007920F8"/>
    <w:p w14:paraId="3DFFAFB7" w14:textId="1504E23E" w:rsidR="007920F8" w:rsidRPr="007920F8" w:rsidRDefault="007920F8" w:rsidP="007920F8"/>
    <w:p w14:paraId="77680F74" w14:textId="6E25D86A" w:rsidR="007920F8" w:rsidRPr="007920F8" w:rsidRDefault="007920F8" w:rsidP="007920F8"/>
    <w:p w14:paraId="3CEC3D57" w14:textId="78EADBF4" w:rsidR="007920F8" w:rsidRPr="007920F8" w:rsidRDefault="007920F8" w:rsidP="007920F8"/>
    <w:p w14:paraId="0A5ADE82" w14:textId="06C73F11" w:rsidR="007920F8" w:rsidRPr="007920F8" w:rsidRDefault="007920F8" w:rsidP="007920F8"/>
    <w:p w14:paraId="148C1ED8" w14:textId="5E87FB8A" w:rsidR="007920F8" w:rsidRPr="007920F8" w:rsidRDefault="007920F8" w:rsidP="007920F8"/>
    <w:p w14:paraId="21C9CA61" w14:textId="7F433250" w:rsidR="007920F8" w:rsidRPr="007920F8" w:rsidRDefault="007920F8" w:rsidP="007920F8"/>
    <w:p w14:paraId="3B4F2D0F" w14:textId="028A76F0" w:rsidR="007920F8" w:rsidRPr="007920F8" w:rsidRDefault="007920F8" w:rsidP="007920F8"/>
    <w:p w14:paraId="46FAC38E" w14:textId="0664F63F" w:rsidR="007920F8" w:rsidRPr="007920F8" w:rsidRDefault="00735F1D" w:rsidP="007920F8">
      <w:r>
        <w:rPr>
          <w:noProof/>
          <w:lang w:eastAsia="pt-BR"/>
        </w:rPr>
        <w:drawing>
          <wp:anchor distT="0" distB="0" distL="114300" distR="114300" simplePos="0" relativeHeight="251697152" behindDoc="0" locked="0" layoutInCell="1" allowOverlap="1" wp14:anchorId="6412B9B3" wp14:editId="75524589">
            <wp:simplePos x="0" y="0"/>
            <wp:positionH relativeFrom="margin">
              <wp:align>center</wp:align>
            </wp:positionH>
            <wp:positionV relativeFrom="margin">
              <wp:posOffset>2743835</wp:posOffset>
            </wp:positionV>
            <wp:extent cx="3327400" cy="3299460"/>
            <wp:effectExtent l="0" t="0" r="6350"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7400" cy="3299460"/>
                    </a:xfrm>
                    <a:prstGeom prst="rect">
                      <a:avLst/>
                    </a:prstGeom>
                  </pic:spPr>
                </pic:pic>
              </a:graphicData>
            </a:graphic>
            <wp14:sizeRelH relativeFrom="margin">
              <wp14:pctWidth>0</wp14:pctWidth>
            </wp14:sizeRelH>
            <wp14:sizeRelV relativeFrom="margin">
              <wp14:pctHeight>0</wp14:pctHeight>
            </wp14:sizeRelV>
          </wp:anchor>
        </w:drawing>
      </w:r>
    </w:p>
    <w:p w14:paraId="5E8B9E91" w14:textId="7DCBECE6" w:rsidR="007920F8" w:rsidRPr="007920F8" w:rsidRDefault="007920F8" w:rsidP="007920F8"/>
    <w:p w14:paraId="49D66CA9" w14:textId="21524662" w:rsidR="007920F8" w:rsidRPr="007920F8" w:rsidRDefault="007920F8" w:rsidP="007920F8"/>
    <w:p w14:paraId="7CD8BE8E" w14:textId="1F338134" w:rsidR="007920F8" w:rsidRPr="007920F8" w:rsidRDefault="007920F8" w:rsidP="007920F8"/>
    <w:p w14:paraId="55F8BA08" w14:textId="68F8E38A" w:rsidR="007920F8" w:rsidRPr="007920F8" w:rsidRDefault="00FD7D45" w:rsidP="007920F8">
      <w:r>
        <w:rPr>
          <w:noProof/>
        </w:rPr>
        <mc:AlternateContent>
          <mc:Choice Requires="wps">
            <w:drawing>
              <wp:anchor distT="45720" distB="45720" distL="114300" distR="114300" simplePos="0" relativeHeight="251696128" behindDoc="0" locked="0" layoutInCell="1" allowOverlap="1" wp14:anchorId="268A644F" wp14:editId="0ED8EAA5">
                <wp:simplePos x="0" y="0"/>
                <wp:positionH relativeFrom="column">
                  <wp:posOffset>546100</wp:posOffset>
                </wp:positionH>
                <wp:positionV relativeFrom="paragraph">
                  <wp:posOffset>118745</wp:posOffset>
                </wp:positionV>
                <wp:extent cx="5727700" cy="1404620"/>
                <wp:effectExtent l="0" t="0" r="25400" b="2540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404620"/>
                        </a:xfrm>
                        <a:prstGeom prst="rect">
                          <a:avLst/>
                        </a:prstGeom>
                        <a:solidFill>
                          <a:schemeClr val="bg1"/>
                        </a:solidFill>
                        <a:ln w="9525">
                          <a:solidFill>
                            <a:schemeClr val="bg1"/>
                          </a:solidFill>
                          <a:miter lim="800000"/>
                          <a:headEnd/>
                          <a:tailEnd/>
                        </a:ln>
                      </wps:spPr>
                      <wps:txbx>
                        <w:txbxContent>
                          <w:p w14:paraId="236E00E4" w14:textId="77777777" w:rsidR="00FD7D45" w:rsidRDefault="00FD7D45" w:rsidP="00FD7D45">
                            <w:pPr>
                              <w:jc w:val="center"/>
                            </w:pPr>
                          </w:p>
                          <w:p w14:paraId="3D42597C" w14:textId="4E24E233" w:rsidR="00FD7D45" w:rsidRPr="00FD7D45" w:rsidRDefault="00FD7D45" w:rsidP="00FD7D45">
                            <w:pPr>
                              <w:jc w:val="center"/>
                              <w:rPr>
                                <w:smallCaps/>
                                <w:color w:val="2E74B5" w:themeColor="accent5" w:themeShade="BF"/>
                                <w:sz w:val="72"/>
                                <w:szCs w:val="72"/>
                              </w:rPr>
                            </w:pPr>
                            <w:r w:rsidRPr="00FD7D45">
                              <w:rPr>
                                <w:smallCaps/>
                                <w:color w:val="2E74B5" w:themeColor="accent5" w:themeShade="BF"/>
                                <w:sz w:val="72"/>
                                <w:szCs w:val="72"/>
                              </w:rPr>
                              <w:t>METODOLOGIA DE GESTÃO DE RISCOS</w:t>
                            </w:r>
                          </w:p>
                          <w:p w14:paraId="7806A148" w14:textId="77777777" w:rsidR="00FD7D45" w:rsidRDefault="00FD7D45" w:rsidP="00FD7D45">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8A644F" id="_x0000_t202" coordsize="21600,21600" o:spt="202" path="m,l,21600r21600,l21600,xe">
                <v:stroke joinstyle="miter"/>
                <v:path gradientshapeok="t" o:connecttype="rect"/>
              </v:shapetype>
              <v:shape id="Caixa de Texto 2" o:spid="_x0000_s1026" type="#_x0000_t202" style="position:absolute;margin-left:43pt;margin-top:9.35pt;width:451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" fillcolor="white [3212]" strokecolor="white [3212]">
                <v:textbox style="mso-fit-shape-to-text:t">
                  <w:txbxContent>
                    <w:p w14:paraId="236E00E4" w14:textId="77777777" w:rsidR="00FD7D45" w:rsidRDefault="00FD7D45" w:rsidP="00FD7D45">
                      <w:pPr>
                        <w:jc w:val="center"/>
                      </w:pPr>
                    </w:p>
                    <w:p w14:paraId="3D42597C" w14:textId="4E24E233" w:rsidR="00FD7D45" w:rsidRPr="00FD7D45" w:rsidRDefault="00FD7D45" w:rsidP="00FD7D45">
                      <w:pPr>
                        <w:jc w:val="center"/>
                        <w:rPr>
                          <w:smallCaps/>
                          <w:color w:val="2E74B5" w:themeColor="accent5" w:themeShade="BF"/>
                          <w:sz w:val="72"/>
                          <w:szCs w:val="72"/>
                        </w:rPr>
                      </w:pPr>
                      <w:r w:rsidRPr="00FD7D45">
                        <w:rPr>
                          <w:smallCaps/>
                          <w:color w:val="2E74B5" w:themeColor="accent5" w:themeShade="BF"/>
                          <w:sz w:val="72"/>
                          <w:szCs w:val="72"/>
                        </w:rPr>
                        <w:t>METODOLOGIA DE GESTÃO DE RISCOS</w:t>
                      </w:r>
                    </w:p>
                    <w:p w14:paraId="7806A148" w14:textId="77777777" w:rsidR="00FD7D45" w:rsidRDefault="00FD7D45" w:rsidP="00FD7D45">
                      <w:pPr>
                        <w:jc w:val="center"/>
                      </w:pPr>
                    </w:p>
                  </w:txbxContent>
                </v:textbox>
                <w10:wrap type="square"/>
              </v:shape>
            </w:pict>
          </mc:Fallback>
        </mc:AlternateContent>
      </w:r>
    </w:p>
    <w:p w14:paraId="6C8278BD" w14:textId="27783280" w:rsidR="007920F8" w:rsidRPr="007920F8" w:rsidRDefault="007920F8" w:rsidP="007920F8"/>
    <w:p w14:paraId="24DB7AB2" w14:textId="14A88004" w:rsidR="007920F8" w:rsidRPr="007920F8" w:rsidRDefault="007920F8" w:rsidP="007920F8"/>
    <w:p w14:paraId="54C4CA0B" w14:textId="7453C226" w:rsidR="007920F8" w:rsidRPr="007920F8" w:rsidRDefault="007920F8" w:rsidP="007920F8"/>
    <w:p w14:paraId="27175C13" w14:textId="4634172C" w:rsidR="007920F8" w:rsidRPr="007920F8" w:rsidRDefault="007920F8" w:rsidP="007920F8"/>
    <w:p w14:paraId="5769DDC2" w14:textId="136D2F19" w:rsidR="007920F8" w:rsidRPr="007920F8" w:rsidRDefault="007920F8" w:rsidP="007920F8"/>
    <w:p w14:paraId="5EB4A0D5" w14:textId="528AE18C" w:rsidR="007920F8" w:rsidRPr="007920F8" w:rsidRDefault="007920F8" w:rsidP="007920F8"/>
    <w:p w14:paraId="34FB8D5B" w14:textId="316A9934" w:rsidR="007920F8" w:rsidRPr="007920F8" w:rsidRDefault="007920F8" w:rsidP="007920F8"/>
    <w:p w14:paraId="61841BC2" w14:textId="2429C056" w:rsidR="007920F8" w:rsidRPr="007920F8" w:rsidRDefault="007920F8" w:rsidP="007920F8"/>
    <w:p w14:paraId="70C47B6E" w14:textId="3CC02325" w:rsidR="007920F8" w:rsidRPr="007920F8" w:rsidRDefault="007920F8" w:rsidP="007920F8"/>
    <w:p w14:paraId="321129C5" w14:textId="2C924234" w:rsidR="007920F8" w:rsidRDefault="007920F8" w:rsidP="007920F8"/>
    <w:p w14:paraId="0202A27B" w14:textId="3A1FF724" w:rsidR="00FD7D45" w:rsidRDefault="00FD7D45" w:rsidP="007920F8"/>
    <w:p w14:paraId="3F8F3180" w14:textId="6F737966" w:rsidR="00FD7D45" w:rsidRDefault="00FD7D45" w:rsidP="00FD7D45">
      <w:pPr>
        <w:jc w:val="right"/>
        <w:rPr>
          <w:smallCaps/>
          <w:color w:val="833C0B" w:themeColor="accent2" w:themeShade="80"/>
        </w:rPr>
      </w:pPr>
    </w:p>
    <w:p w14:paraId="3C0535F1" w14:textId="77777777" w:rsidR="003C45FC" w:rsidRDefault="003C45FC" w:rsidP="00FD7D45">
      <w:pPr>
        <w:jc w:val="right"/>
        <w:rPr>
          <w:smallCaps/>
          <w:color w:val="833C0B" w:themeColor="accent2" w:themeShade="80"/>
        </w:rPr>
      </w:pPr>
    </w:p>
    <w:p w14:paraId="62485624" w14:textId="77777777" w:rsidR="00FD7D45" w:rsidRDefault="00FD7D45" w:rsidP="00FD7D45">
      <w:pPr>
        <w:jc w:val="right"/>
        <w:rPr>
          <w:smallCaps/>
          <w:color w:val="833C0B" w:themeColor="accent2" w:themeShade="80"/>
        </w:rPr>
      </w:pPr>
    </w:p>
    <w:p w14:paraId="650B757C" w14:textId="77777777" w:rsidR="00FD7D45" w:rsidRDefault="00FD7D45" w:rsidP="00FD7D45">
      <w:pPr>
        <w:jc w:val="right"/>
        <w:rPr>
          <w:smallCaps/>
          <w:color w:val="833C0B" w:themeColor="accent2" w:themeShade="80"/>
        </w:rPr>
      </w:pPr>
    </w:p>
    <w:p w14:paraId="35E7AD5C" w14:textId="03A70DB6" w:rsidR="00FD7D45" w:rsidRDefault="00FD7D45" w:rsidP="00FD7D45">
      <w:pPr>
        <w:jc w:val="right"/>
        <w:rPr>
          <w:smallCaps/>
          <w:color w:val="2E74B5" w:themeColor="accent5" w:themeShade="BF"/>
        </w:rPr>
      </w:pPr>
      <w:r w:rsidRPr="00FD7D45">
        <w:rPr>
          <w:smallCaps/>
          <w:color w:val="2E74B5" w:themeColor="accent5" w:themeShade="BF"/>
        </w:rPr>
        <w:lastRenderedPageBreak/>
        <w:t>Versão: junho/2021</w:t>
      </w:r>
    </w:p>
    <w:p w14:paraId="093AA2E4" w14:textId="77777777" w:rsidR="00FD7D45" w:rsidRDefault="00FD7D45" w:rsidP="00FD7D45">
      <w:pPr>
        <w:ind w:left="874" w:right="1171"/>
        <w:jc w:val="center"/>
        <w:rPr>
          <w:b/>
          <w:color w:val="833C0B" w:themeColor="accent2" w:themeShade="80"/>
          <w:sz w:val="24"/>
        </w:rPr>
      </w:pPr>
    </w:p>
    <w:p w14:paraId="7A1D2EAA" w14:textId="1558C2EC" w:rsidR="00FD7D45" w:rsidRPr="00FD7D45" w:rsidRDefault="00FD7D45" w:rsidP="00FD7D45">
      <w:pPr>
        <w:ind w:left="874" w:right="1171"/>
        <w:jc w:val="center"/>
        <w:rPr>
          <w:b/>
          <w:color w:val="1F4E79" w:themeColor="accent5" w:themeShade="80"/>
          <w:sz w:val="24"/>
        </w:rPr>
      </w:pPr>
      <w:r w:rsidRPr="00FD7D45">
        <w:rPr>
          <w:b/>
          <w:color w:val="1F4E79" w:themeColor="accent5" w:themeShade="80"/>
          <w:sz w:val="24"/>
        </w:rPr>
        <w:t>MINISTÉRIO DA SAÚDE</w:t>
      </w:r>
    </w:p>
    <w:p w14:paraId="4C943641" w14:textId="77777777" w:rsidR="00FD7D45" w:rsidRPr="00FD7D45" w:rsidRDefault="00FD7D45" w:rsidP="00FD7D45">
      <w:pPr>
        <w:ind w:left="874" w:right="1171"/>
        <w:jc w:val="center"/>
        <w:rPr>
          <w:b/>
          <w:color w:val="1F4E79" w:themeColor="accent5" w:themeShade="80"/>
          <w:sz w:val="24"/>
        </w:rPr>
      </w:pPr>
      <w:r w:rsidRPr="00FD7D45">
        <w:rPr>
          <w:b/>
          <w:color w:val="1F4E79" w:themeColor="accent5" w:themeShade="80"/>
          <w:sz w:val="24"/>
        </w:rPr>
        <w:t>Esplanada dos Ministérios, Bloco G, Edifício Sede, Brasília – DF 70058-900 - Brasília-DF</w:t>
      </w:r>
    </w:p>
    <w:p w14:paraId="6CF23740" w14:textId="77777777" w:rsidR="00FD7D45" w:rsidRPr="00FD7D45" w:rsidRDefault="00FD7D45" w:rsidP="00FD7D45">
      <w:pPr>
        <w:ind w:left="874" w:right="1171"/>
        <w:jc w:val="center"/>
        <w:rPr>
          <w:b/>
          <w:color w:val="1F4E79" w:themeColor="accent5" w:themeShade="80"/>
          <w:sz w:val="24"/>
        </w:rPr>
      </w:pPr>
    </w:p>
    <w:p w14:paraId="233E71B6" w14:textId="77777777" w:rsidR="00FD7D45" w:rsidRPr="00FD7D45" w:rsidRDefault="00FD7D45" w:rsidP="00FD7D45">
      <w:pPr>
        <w:pStyle w:val="Corpodetexto"/>
        <w:rPr>
          <w:color w:val="1F4E79" w:themeColor="accent5" w:themeShade="80"/>
          <w:sz w:val="26"/>
        </w:rPr>
      </w:pPr>
    </w:p>
    <w:p w14:paraId="2D9D167B" w14:textId="77777777" w:rsidR="00FD7D45" w:rsidRPr="00FD7D45" w:rsidRDefault="00FD7D45" w:rsidP="00FD7D45">
      <w:pPr>
        <w:pStyle w:val="Corpodetexto"/>
        <w:rPr>
          <w:color w:val="1F4E79" w:themeColor="accent5" w:themeShade="80"/>
          <w:sz w:val="26"/>
        </w:rPr>
      </w:pPr>
    </w:p>
    <w:p w14:paraId="7E742B78" w14:textId="77777777" w:rsidR="00FD7D45" w:rsidRPr="00FD7D45" w:rsidRDefault="00FD7D45" w:rsidP="00FD7D45">
      <w:pPr>
        <w:pStyle w:val="Corpodetexto"/>
        <w:rPr>
          <w:color w:val="1F4E79" w:themeColor="accent5" w:themeShade="80"/>
          <w:sz w:val="26"/>
        </w:rPr>
      </w:pPr>
    </w:p>
    <w:p w14:paraId="31DF87A2" w14:textId="316C449A" w:rsidR="00FD7D45" w:rsidRPr="00FD7D45" w:rsidRDefault="00FD7D45" w:rsidP="00BC0433">
      <w:pPr>
        <w:spacing w:before="207"/>
        <w:ind w:left="873" w:right="1171"/>
        <w:jc w:val="center"/>
        <w:rPr>
          <w:b/>
          <w:color w:val="1F4E79" w:themeColor="accent5" w:themeShade="80"/>
        </w:rPr>
      </w:pPr>
      <w:r w:rsidRPr="00FD7D45">
        <w:rPr>
          <w:b/>
          <w:color w:val="1F4E79" w:themeColor="accent5" w:themeShade="80"/>
          <w:sz w:val="24"/>
        </w:rPr>
        <w:t>Equipe</w:t>
      </w:r>
    </w:p>
    <w:p w14:paraId="676312E3" w14:textId="77777777" w:rsidR="00FD7D45" w:rsidRPr="00FD7D45" w:rsidRDefault="00FD7D45" w:rsidP="00FD7D45">
      <w:pPr>
        <w:ind w:left="874" w:right="1171"/>
        <w:jc w:val="center"/>
        <w:rPr>
          <w:b/>
          <w:color w:val="1F4E79" w:themeColor="accent5" w:themeShade="80"/>
        </w:rPr>
      </w:pPr>
      <w:r w:rsidRPr="00FD7D45">
        <w:rPr>
          <w:b/>
          <w:color w:val="1F4E79" w:themeColor="accent5" w:themeShade="80"/>
          <w:sz w:val="24"/>
        </w:rPr>
        <w:t>Diretoria de Integridade – DINTEG/MS</w:t>
      </w:r>
    </w:p>
    <w:p w14:paraId="5ED881C7" w14:textId="77777777" w:rsidR="00FD7D45" w:rsidRPr="00FD7D45" w:rsidRDefault="00FD7D45" w:rsidP="00FD7D45">
      <w:pPr>
        <w:pStyle w:val="Corpodetexto"/>
        <w:ind w:left="873" w:right="1171"/>
        <w:jc w:val="center"/>
        <w:rPr>
          <w:color w:val="1F4E79" w:themeColor="accent5" w:themeShade="80"/>
        </w:rPr>
      </w:pPr>
      <w:r w:rsidRPr="00FD7D45">
        <w:rPr>
          <w:color w:val="1F4E79" w:themeColor="accent5" w:themeShade="80"/>
        </w:rPr>
        <w:t>Carolina Palhares Lima - Diretora de Integridade</w:t>
      </w:r>
    </w:p>
    <w:p w14:paraId="32F79E0A" w14:textId="77777777" w:rsidR="00FD7D45" w:rsidRPr="00FD7D45" w:rsidRDefault="00FD7D45" w:rsidP="00FD7D45">
      <w:pPr>
        <w:pStyle w:val="Corpodetexto"/>
        <w:ind w:left="872" w:right="1171"/>
        <w:jc w:val="center"/>
        <w:rPr>
          <w:color w:val="1F4E79" w:themeColor="accent5" w:themeShade="80"/>
        </w:rPr>
      </w:pPr>
      <w:r w:rsidRPr="00FD7D45">
        <w:rPr>
          <w:color w:val="1F4E79" w:themeColor="accent5" w:themeShade="80"/>
        </w:rPr>
        <w:t>Nilton Carlos Jacintho Pereira - Assessor da Diretoria de</w:t>
      </w:r>
      <w:r w:rsidRPr="00FD7D45">
        <w:rPr>
          <w:color w:val="1F4E79" w:themeColor="accent5" w:themeShade="80"/>
          <w:spacing w:val="-11"/>
        </w:rPr>
        <w:t xml:space="preserve"> </w:t>
      </w:r>
      <w:r w:rsidRPr="00FD7D45">
        <w:rPr>
          <w:color w:val="1F4E79" w:themeColor="accent5" w:themeShade="80"/>
        </w:rPr>
        <w:t>Integridade</w:t>
      </w:r>
    </w:p>
    <w:p w14:paraId="6076AAF1" w14:textId="77777777" w:rsidR="00FD7D45" w:rsidRPr="00FD7D45" w:rsidRDefault="00FD7D45" w:rsidP="00FD7D45">
      <w:pPr>
        <w:pStyle w:val="Corpodetexto"/>
        <w:spacing w:before="1"/>
        <w:rPr>
          <w:color w:val="1F4E79" w:themeColor="accent5" w:themeShade="80"/>
        </w:rPr>
      </w:pPr>
    </w:p>
    <w:p w14:paraId="4388BA10" w14:textId="77777777" w:rsidR="00FD7D45" w:rsidRPr="00FD7D45" w:rsidRDefault="00FD7D45" w:rsidP="00FD7D45">
      <w:pPr>
        <w:ind w:left="874" w:right="1171"/>
        <w:jc w:val="center"/>
        <w:rPr>
          <w:b/>
          <w:color w:val="1F4E79" w:themeColor="accent5" w:themeShade="80"/>
        </w:rPr>
      </w:pPr>
      <w:r w:rsidRPr="00FD7D45">
        <w:rPr>
          <w:b/>
          <w:color w:val="1F4E79" w:themeColor="accent5" w:themeShade="80"/>
          <w:sz w:val="24"/>
        </w:rPr>
        <w:t>Coordenação-Geral de Controle Interno –</w:t>
      </w:r>
      <w:r w:rsidRPr="00FD7D45">
        <w:rPr>
          <w:b/>
          <w:color w:val="1F4E79" w:themeColor="accent5" w:themeShade="80"/>
          <w:spacing w:val="-8"/>
          <w:sz w:val="24"/>
        </w:rPr>
        <w:t xml:space="preserve"> </w:t>
      </w:r>
      <w:r w:rsidRPr="00FD7D45">
        <w:rPr>
          <w:b/>
          <w:color w:val="1F4E79" w:themeColor="accent5" w:themeShade="80"/>
          <w:sz w:val="24"/>
        </w:rPr>
        <w:t>CGCIN/DINTEG/MS</w:t>
      </w:r>
    </w:p>
    <w:p w14:paraId="6F56E1D5" w14:textId="77777777" w:rsidR="00FD7D45" w:rsidRPr="00FD7D45" w:rsidRDefault="00FD7D45" w:rsidP="00FD7D45">
      <w:pPr>
        <w:pStyle w:val="Corpodetexto"/>
        <w:ind w:left="873" w:right="1171"/>
        <w:jc w:val="center"/>
        <w:rPr>
          <w:color w:val="1F4E79" w:themeColor="accent5" w:themeShade="80"/>
        </w:rPr>
      </w:pPr>
      <w:r w:rsidRPr="00FD7D45">
        <w:rPr>
          <w:color w:val="1F4E79" w:themeColor="accent5" w:themeShade="80"/>
        </w:rPr>
        <w:t>Aline Ribeiro - Coordenadora-Geral de Controle interno</w:t>
      </w:r>
    </w:p>
    <w:p w14:paraId="7322A967" w14:textId="77777777" w:rsidR="00FD7D45" w:rsidRPr="00FD7D45" w:rsidRDefault="00FD7D45" w:rsidP="00FD7D45">
      <w:pPr>
        <w:pStyle w:val="Corpodetexto"/>
        <w:rPr>
          <w:color w:val="1F4E79" w:themeColor="accent5" w:themeShade="80"/>
        </w:rPr>
      </w:pPr>
    </w:p>
    <w:p w14:paraId="13C9CC88" w14:textId="77777777" w:rsidR="00FD7D45" w:rsidRPr="00FD7D45" w:rsidRDefault="00FD7D45" w:rsidP="00FD7D45">
      <w:pPr>
        <w:ind w:left="875" w:right="1171"/>
        <w:jc w:val="center"/>
        <w:rPr>
          <w:b/>
          <w:color w:val="1F4E79" w:themeColor="accent5" w:themeShade="80"/>
        </w:rPr>
      </w:pPr>
      <w:r w:rsidRPr="00FD7D45">
        <w:rPr>
          <w:b/>
          <w:color w:val="1F4E79" w:themeColor="accent5" w:themeShade="80"/>
          <w:sz w:val="24"/>
        </w:rPr>
        <w:t>Coordenação de Gestão de Riscos – COGER/CGCIN/DINTEG/MS</w:t>
      </w:r>
    </w:p>
    <w:p w14:paraId="3FB8377A" w14:textId="77777777" w:rsidR="00FD7D45" w:rsidRPr="004B5D4B" w:rsidRDefault="00FD7D45" w:rsidP="00FD7D45">
      <w:pPr>
        <w:pStyle w:val="Corpodetexto"/>
        <w:ind w:left="873" w:right="1171"/>
        <w:jc w:val="center"/>
        <w:rPr>
          <w:color w:val="833C0B" w:themeColor="accent2" w:themeShade="80"/>
        </w:rPr>
      </w:pPr>
      <w:r w:rsidRPr="00FD7D45">
        <w:rPr>
          <w:color w:val="1F4E79" w:themeColor="accent5" w:themeShade="80"/>
        </w:rPr>
        <w:t>Francisco José Ribeiro Facchinetti - Coordenador de Gestão de Riscos</w:t>
      </w:r>
      <w:r w:rsidRPr="004B5D4B">
        <w:rPr>
          <w:color w:val="833C0B" w:themeColor="accent2" w:themeShade="80"/>
        </w:rPr>
        <w:br w:type="page"/>
      </w:r>
    </w:p>
    <w:sdt>
      <w:sdtPr>
        <w:rPr>
          <w:rFonts w:ascii="Times New Roman" w:eastAsiaTheme="minorEastAsia" w:hAnsi="Times New Roman" w:cstheme="minorHAnsi"/>
          <w:color w:val="1F4E79" w:themeColor="accent5" w:themeShade="80"/>
          <w:sz w:val="20"/>
          <w:szCs w:val="20"/>
          <w:lang w:val="pt-PT"/>
        </w:rPr>
        <w:id w:val="-1631083314"/>
        <w:docPartObj>
          <w:docPartGallery w:val="Table of Contents"/>
          <w:docPartUnique/>
        </w:docPartObj>
      </w:sdtPr>
      <w:sdtEndPr>
        <w:rPr>
          <w:rFonts w:asciiTheme="minorHAnsi" w:eastAsia="Times New Roman" w:hAnsiTheme="minorHAnsi"/>
          <w:bCs/>
          <w:sz w:val="24"/>
          <w:szCs w:val="24"/>
        </w:rPr>
      </w:sdtEndPr>
      <w:sdtContent>
        <w:p w14:paraId="19351465" w14:textId="77777777" w:rsidR="00FD7D45" w:rsidRPr="008D391F" w:rsidRDefault="00FD7D45" w:rsidP="00FD7D45">
          <w:pPr>
            <w:rPr>
              <w:rFonts w:cstheme="minorHAnsi"/>
              <w:color w:val="1F4E79" w:themeColor="accent5" w:themeShade="80"/>
              <w:sz w:val="20"/>
              <w:szCs w:val="20"/>
            </w:rPr>
          </w:pPr>
        </w:p>
        <w:p w14:paraId="245C2EB3" w14:textId="77777777" w:rsidR="00FD7D45" w:rsidRPr="008D391F" w:rsidRDefault="00FD7D45" w:rsidP="00FD7D45">
          <w:pPr>
            <w:jc w:val="center"/>
            <w:rPr>
              <w:rFonts w:cstheme="minorHAnsi"/>
              <w:b/>
              <w:color w:val="1F4E79" w:themeColor="accent5" w:themeShade="80"/>
              <w:sz w:val="20"/>
              <w:szCs w:val="20"/>
            </w:rPr>
          </w:pPr>
          <w:r w:rsidRPr="008D391F">
            <w:rPr>
              <w:rFonts w:cstheme="minorHAnsi"/>
              <w:b/>
              <w:color w:val="1F4E79" w:themeColor="accent5" w:themeShade="80"/>
              <w:sz w:val="20"/>
              <w:szCs w:val="20"/>
            </w:rPr>
            <w:t>SUMÁRIO</w:t>
          </w:r>
        </w:p>
        <w:p w14:paraId="45E92DAD" w14:textId="77777777" w:rsidR="00FD7D45" w:rsidRPr="008D391F" w:rsidRDefault="00FD7D45" w:rsidP="00FD7D45">
          <w:pPr>
            <w:jc w:val="center"/>
            <w:rPr>
              <w:rFonts w:cstheme="minorHAnsi"/>
              <w:color w:val="1F4E79" w:themeColor="accent5" w:themeShade="80"/>
              <w:sz w:val="20"/>
              <w:szCs w:val="20"/>
            </w:rPr>
          </w:pPr>
        </w:p>
        <w:p w14:paraId="268E139B" w14:textId="5387B544" w:rsidR="002F3907" w:rsidRPr="002F3907" w:rsidRDefault="00FD7D45">
          <w:pPr>
            <w:pStyle w:val="Sumrio1"/>
            <w:tabs>
              <w:tab w:val="left" w:pos="1540"/>
              <w:tab w:val="right" w:leader="dot" w:pos="9060"/>
            </w:tabs>
            <w:rPr>
              <w:rFonts w:asciiTheme="minorHAnsi" w:eastAsiaTheme="minorEastAsia" w:hAnsiTheme="minorHAnsi" w:cstheme="minorHAnsi"/>
              <w:noProof/>
              <w:color w:val="1F4E79" w:themeColor="accent5" w:themeShade="80"/>
              <w:lang w:val="pt-BR" w:eastAsia="pt-BR"/>
            </w:rPr>
          </w:pPr>
          <w:r w:rsidRPr="002F3907">
            <w:rPr>
              <w:rFonts w:asciiTheme="minorHAnsi" w:hAnsiTheme="minorHAnsi" w:cstheme="minorHAnsi"/>
              <w:bCs/>
              <w:smallCaps/>
              <w:noProof/>
              <w:color w:val="1F4E79" w:themeColor="accent5" w:themeShade="80"/>
            </w:rPr>
            <w:fldChar w:fldCharType="begin"/>
          </w:r>
          <w:r w:rsidRPr="002F3907">
            <w:rPr>
              <w:rFonts w:asciiTheme="minorHAnsi" w:hAnsiTheme="minorHAnsi" w:cstheme="minorHAnsi"/>
              <w:bCs/>
              <w:color w:val="1F4E79" w:themeColor="accent5" w:themeShade="80"/>
            </w:rPr>
            <w:instrText xml:space="preserve"> TOC \o "1-3" \h \z \u </w:instrText>
          </w:r>
          <w:r w:rsidRPr="002F3907">
            <w:rPr>
              <w:rFonts w:asciiTheme="minorHAnsi" w:hAnsiTheme="minorHAnsi" w:cstheme="minorHAnsi"/>
              <w:bCs/>
              <w:smallCaps/>
              <w:noProof/>
              <w:color w:val="1F4E79" w:themeColor="accent5" w:themeShade="80"/>
            </w:rPr>
            <w:fldChar w:fldCharType="separate"/>
          </w:r>
          <w:hyperlink w:anchor="_Toc74468848" w:history="1">
            <w:r w:rsidR="002F3907" w:rsidRPr="002F3907">
              <w:rPr>
                <w:rStyle w:val="Hyperlink"/>
                <w:rFonts w:asciiTheme="minorHAnsi" w:hAnsiTheme="minorHAnsi" w:cstheme="minorHAnsi"/>
                <w:b/>
                <w:bCs/>
                <w:noProof/>
                <w:color w:val="1F4E79" w:themeColor="accent5" w:themeShade="80"/>
              </w:rPr>
              <w:t>1.</w:t>
            </w:r>
            <w:r w:rsidR="002F3907" w:rsidRPr="002F3907">
              <w:rPr>
                <w:rFonts w:asciiTheme="minorHAnsi" w:eastAsiaTheme="minorEastAsia" w:hAnsiTheme="minorHAnsi" w:cstheme="minorHAnsi"/>
                <w:noProof/>
                <w:color w:val="1F4E79" w:themeColor="accent5" w:themeShade="80"/>
                <w:lang w:val="pt-BR" w:eastAsia="pt-BR"/>
              </w:rPr>
              <w:tab/>
            </w:r>
            <w:r w:rsidR="002F3907" w:rsidRPr="002F3907">
              <w:rPr>
                <w:rStyle w:val="Hyperlink"/>
                <w:rFonts w:asciiTheme="minorHAnsi" w:hAnsiTheme="minorHAnsi" w:cstheme="minorHAnsi"/>
                <w:b/>
                <w:bCs/>
                <w:noProof/>
                <w:color w:val="1F4E79" w:themeColor="accent5" w:themeShade="80"/>
              </w:rPr>
              <w:t>INTRODUÇÃO</w:t>
            </w:r>
            <w:r w:rsidR="002F3907" w:rsidRPr="002F3907">
              <w:rPr>
                <w:rFonts w:asciiTheme="minorHAnsi" w:hAnsiTheme="minorHAnsi" w:cstheme="minorHAnsi"/>
                <w:noProof/>
                <w:webHidden/>
                <w:color w:val="1F4E79" w:themeColor="accent5" w:themeShade="80"/>
              </w:rPr>
              <w:tab/>
            </w:r>
            <w:r w:rsidR="002F3907" w:rsidRPr="002F3907">
              <w:rPr>
                <w:rFonts w:asciiTheme="minorHAnsi" w:hAnsiTheme="minorHAnsi" w:cstheme="minorHAnsi"/>
                <w:noProof/>
                <w:webHidden/>
                <w:color w:val="1F4E79" w:themeColor="accent5" w:themeShade="80"/>
              </w:rPr>
              <w:fldChar w:fldCharType="begin"/>
            </w:r>
            <w:r w:rsidR="002F3907" w:rsidRPr="002F3907">
              <w:rPr>
                <w:rFonts w:asciiTheme="minorHAnsi" w:hAnsiTheme="minorHAnsi" w:cstheme="minorHAnsi"/>
                <w:noProof/>
                <w:webHidden/>
                <w:color w:val="1F4E79" w:themeColor="accent5" w:themeShade="80"/>
              </w:rPr>
              <w:instrText xml:space="preserve"> PAGEREF _Toc74468848 \h </w:instrText>
            </w:r>
            <w:r w:rsidR="002F3907" w:rsidRPr="002F3907">
              <w:rPr>
                <w:rFonts w:asciiTheme="minorHAnsi" w:hAnsiTheme="minorHAnsi" w:cstheme="minorHAnsi"/>
                <w:noProof/>
                <w:webHidden/>
                <w:color w:val="1F4E79" w:themeColor="accent5" w:themeShade="80"/>
              </w:rPr>
            </w:r>
            <w:r w:rsidR="002F3907" w:rsidRPr="002F3907">
              <w:rPr>
                <w:rFonts w:asciiTheme="minorHAnsi" w:hAnsiTheme="minorHAnsi" w:cstheme="minorHAnsi"/>
                <w:noProof/>
                <w:webHidden/>
                <w:color w:val="1F4E79" w:themeColor="accent5" w:themeShade="80"/>
              </w:rPr>
              <w:fldChar w:fldCharType="separate"/>
            </w:r>
            <w:r w:rsidR="002F3907" w:rsidRPr="002F3907">
              <w:rPr>
                <w:rFonts w:asciiTheme="minorHAnsi" w:hAnsiTheme="minorHAnsi" w:cstheme="minorHAnsi"/>
                <w:noProof/>
                <w:webHidden/>
                <w:color w:val="1F4E79" w:themeColor="accent5" w:themeShade="80"/>
              </w:rPr>
              <w:t>5</w:t>
            </w:r>
            <w:r w:rsidR="002F3907" w:rsidRPr="002F3907">
              <w:rPr>
                <w:rFonts w:asciiTheme="minorHAnsi" w:hAnsiTheme="minorHAnsi" w:cstheme="minorHAnsi"/>
                <w:noProof/>
                <w:webHidden/>
                <w:color w:val="1F4E79" w:themeColor="accent5" w:themeShade="80"/>
              </w:rPr>
              <w:fldChar w:fldCharType="end"/>
            </w:r>
          </w:hyperlink>
        </w:p>
        <w:p w14:paraId="3392DAB4" w14:textId="26FED55E" w:rsidR="002F3907" w:rsidRPr="002F3907" w:rsidRDefault="007E2F45">
          <w:pPr>
            <w:pStyle w:val="Sumrio1"/>
            <w:tabs>
              <w:tab w:val="left" w:pos="1540"/>
              <w:tab w:val="right" w:leader="dot" w:pos="9060"/>
            </w:tabs>
            <w:rPr>
              <w:rFonts w:asciiTheme="minorHAnsi" w:eastAsiaTheme="minorEastAsia" w:hAnsiTheme="minorHAnsi" w:cstheme="minorHAnsi"/>
              <w:noProof/>
              <w:color w:val="1F4E79" w:themeColor="accent5" w:themeShade="80"/>
              <w:lang w:val="pt-BR" w:eastAsia="pt-BR"/>
            </w:rPr>
          </w:pPr>
          <w:hyperlink w:anchor="_Toc74468849" w:history="1">
            <w:r w:rsidR="002F3907" w:rsidRPr="002F3907">
              <w:rPr>
                <w:rStyle w:val="Hyperlink"/>
                <w:rFonts w:asciiTheme="minorHAnsi" w:hAnsiTheme="minorHAnsi" w:cstheme="minorHAnsi"/>
                <w:b/>
                <w:bCs/>
                <w:noProof/>
                <w:color w:val="1F4E79" w:themeColor="accent5" w:themeShade="80"/>
              </w:rPr>
              <w:t>2.</w:t>
            </w:r>
            <w:r w:rsidR="002F3907" w:rsidRPr="002F3907">
              <w:rPr>
                <w:rFonts w:asciiTheme="minorHAnsi" w:eastAsiaTheme="minorEastAsia" w:hAnsiTheme="minorHAnsi" w:cstheme="minorHAnsi"/>
                <w:noProof/>
                <w:color w:val="1F4E79" w:themeColor="accent5" w:themeShade="80"/>
                <w:lang w:val="pt-BR" w:eastAsia="pt-BR"/>
              </w:rPr>
              <w:tab/>
            </w:r>
            <w:r w:rsidR="002F3907" w:rsidRPr="002F3907">
              <w:rPr>
                <w:rStyle w:val="Hyperlink"/>
                <w:rFonts w:asciiTheme="minorHAnsi" w:hAnsiTheme="minorHAnsi" w:cstheme="minorHAnsi"/>
                <w:b/>
                <w:bCs/>
                <w:noProof/>
                <w:color w:val="1F4E79" w:themeColor="accent5" w:themeShade="80"/>
              </w:rPr>
              <w:t>OBJETIVOS DA GESTÃO DE RISCOS NO MINISTÉRIO DA SAÚDE</w:t>
            </w:r>
            <w:r w:rsidR="002F3907" w:rsidRPr="002F3907">
              <w:rPr>
                <w:rFonts w:asciiTheme="minorHAnsi" w:hAnsiTheme="minorHAnsi" w:cstheme="minorHAnsi"/>
                <w:noProof/>
                <w:webHidden/>
                <w:color w:val="1F4E79" w:themeColor="accent5" w:themeShade="80"/>
              </w:rPr>
              <w:tab/>
            </w:r>
            <w:r w:rsidR="002F3907" w:rsidRPr="002F3907">
              <w:rPr>
                <w:rFonts w:asciiTheme="minorHAnsi" w:hAnsiTheme="minorHAnsi" w:cstheme="minorHAnsi"/>
                <w:noProof/>
                <w:webHidden/>
                <w:color w:val="1F4E79" w:themeColor="accent5" w:themeShade="80"/>
              </w:rPr>
              <w:fldChar w:fldCharType="begin"/>
            </w:r>
            <w:r w:rsidR="002F3907" w:rsidRPr="002F3907">
              <w:rPr>
                <w:rFonts w:asciiTheme="minorHAnsi" w:hAnsiTheme="minorHAnsi" w:cstheme="minorHAnsi"/>
                <w:noProof/>
                <w:webHidden/>
                <w:color w:val="1F4E79" w:themeColor="accent5" w:themeShade="80"/>
              </w:rPr>
              <w:instrText xml:space="preserve"> PAGEREF _Toc74468849 \h </w:instrText>
            </w:r>
            <w:r w:rsidR="002F3907" w:rsidRPr="002F3907">
              <w:rPr>
                <w:rFonts w:asciiTheme="minorHAnsi" w:hAnsiTheme="minorHAnsi" w:cstheme="minorHAnsi"/>
                <w:noProof/>
                <w:webHidden/>
                <w:color w:val="1F4E79" w:themeColor="accent5" w:themeShade="80"/>
              </w:rPr>
            </w:r>
            <w:r w:rsidR="002F3907" w:rsidRPr="002F3907">
              <w:rPr>
                <w:rFonts w:asciiTheme="minorHAnsi" w:hAnsiTheme="minorHAnsi" w:cstheme="minorHAnsi"/>
                <w:noProof/>
                <w:webHidden/>
                <w:color w:val="1F4E79" w:themeColor="accent5" w:themeShade="80"/>
              </w:rPr>
              <w:fldChar w:fldCharType="separate"/>
            </w:r>
            <w:r w:rsidR="002F3907" w:rsidRPr="002F3907">
              <w:rPr>
                <w:rFonts w:asciiTheme="minorHAnsi" w:hAnsiTheme="minorHAnsi" w:cstheme="minorHAnsi"/>
                <w:noProof/>
                <w:webHidden/>
                <w:color w:val="1F4E79" w:themeColor="accent5" w:themeShade="80"/>
              </w:rPr>
              <w:t>6</w:t>
            </w:r>
            <w:r w:rsidR="002F3907" w:rsidRPr="002F3907">
              <w:rPr>
                <w:rFonts w:asciiTheme="minorHAnsi" w:hAnsiTheme="minorHAnsi" w:cstheme="minorHAnsi"/>
                <w:noProof/>
                <w:webHidden/>
                <w:color w:val="1F4E79" w:themeColor="accent5" w:themeShade="80"/>
              </w:rPr>
              <w:fldChar w:fldCharType="end"/>
            </w:r>
          </w:hyperlink>
        </w:p>
        <w:p w14:paraId="23DD0A7A" w14:textId="08696B5F" w:rsidR="002F3907" w:rsidRPr="002F3907" w:rsidRDefault="007E2F45">
          <w:pPr>
            <w:pStyle w:val="Sumrio1"/>
            <w:tabs>
              <w:tab w:val="left" w:pos="1540"/>
              <w:tab w:val="right" w:leader="dot" w:pos="9060"/>
            </w:tabs>
            <w:rPr>
              <w:rFonts w:asciiTheme="minorHAnsi" w:eastAsiaTheme="minorEastAsia" w:hAnsiTheme="minorHAnsi" w:cstheme="minorHAnsi"/>
              <w:noProof/>
              <w:color w:val="1F4E79" w:themeColor="accent5" w:themeShade="80"/>
              <w:lang w:val="pt-BR" w:eastAsia="pt-BR"/>
            </w:rPr>
          </w:pPr>
          <w:hyperlink w:anchor="_Toc74468850" w:history="1">
            <w:r w:rsidR="002F3907" w:rsidRPr="002F3907">
              <w:rPr>
                <w:rStyle w:val="Hyperlink"/>
                <w:rFonts w:asciiTheme="minorHAnsi" w:hAnsiTheme="minorHAnsi" w:cstheme="minorHAnsi"/>
                <w:b/>
                <w:bCs/>
                <w:noProof/>
                <w:color w:val="1F4E79" w:themeColor="accent5" w:themeShade="80"/>
              </w:rPr>
              <w:t>3.</w:t>
            </w:r>
            <w:r w:rsidR="002F3907" w:rsidRPr="002F3907">
              <w:rPr>
                <w:rFonts w:asciiTheme="minorHAnsi" w:eastAsiaTheme="minorEastAsia" w:hAnsiTheme="minorHAnsi" w:cstheme="minorHAnsi"/>
                <w:noProof/>
                <w:color w:val="1F4E79" w:themeColor="accent5" w:themeShade="80"/>
                <w:lang w:val="pt-BR" w:eastAsia="pt-BR"/>
              </w:rPr>
              <w:tab/>
            </w:r>
            <w:r w:rsidR="002F3907" w:rsidRPr="002F3907">
              <w:rPr>
                <w:rStyle w:val="Hyperlink"/>
                <w:rFonts w:asciiTheme="minorHAnsi" w:hAnsiTheme="minorHAnsi" w:cstheme="minorHAnsi"/>
                <w:b/>
                <w:bCs/>
                <w:noProof/>
                <w:color w:val="1F4E79" w:themeColor="accent5" w:themeShade="80"/>
              </w:rPr>
              <w:t>FUNDAMENTOS DA GESTÃO DE RISCOS</w:t>
            </w:r>
            <w:r w:rsidR="002F3907" w:rsidRPr="002F3907">
              <w:rPr>
                <w:rFonts w:asciiTheme="minorHAnsi" w:hAnsiTheme="minorHAnsi" w:cstheme="minorHAnsi"/>
                <w:noProof/>
                <w:webHidden/>
                <w:color w:val="1F4E79" w:themeColor="accent5" w:themeShade="80"/>
              </w:rPr>
              <w:tab/>
            </w:r>
            <w:r w:rsidR="002F3907" w:rsidRPr="002F3907">
              <w:rPr>
                <w:rFonts w:asciiTheme="minorHAnsi" w:hAnsiTheme="minorHAnsi" w:cstheme="minorHAnsi"/>
                <w:noProof/>
                <w:webHidden/>
                <w:color w:val="1F4E79" w:themeColor="accent5" w:themeShade="80"/>
              </w:rPr>
              <w:fldChar w:fldCharType="begin"/>
            </w:r>
            <w:r w:rsidR="002F3907" w:rsidRPr="002F3907">
              <w:rPr>
                <w:rFonts w:asciiTheme="minorHAnsi" w:hAnsiTheme="minorHAnsi" w:cstheme="minorHAnsi"/>
                <w:noProof/>
                <w:webHidden/>
                <w:color w:val="1F4E79" w:themeColor="accent5" w:themeShade="80"/>
              </w:rPr>
              <w:instrText xml:space="preserve"> PAGEREF _Toc74468850 \h </w:instrText>
            </w:r>
            <w:r w:rsidR="002F3907" w:rsidRPr="002F3907">
              <w:rPr>
                <w:rFonts w:asciiTheme="minorHAnsi" w:hAnsiTheme="minorHAnsi" w:cstheme="minorHAnsi"/>
                <w:noProof/>
                <w:webHidden/>
                <w:color w:val="1F4E79" w:themeColor="accent5" w:themeShade="80"/>
              </w:rPr>
            </w:r>
            <w:r w:rsidR="002F3907" w:rsidRPr="002F3907">
              <w:rPr>
                <w:rFonts w:asciiTheme="minorHAnsi" w:hAnsiTheme="minorHAnsi" w:cstheme="minorHAnsi"/>
                <w:noProof/>
                <w:webHidden/>
                <w:color w:val="1F4E79" w:themeColor="accent5" w:themeShade="80"/>
              </w:rPr>
              <w:fldChar w:fldCharType="separate"/>
            </w:r>
            <w:r w:rsidR="002F3907" w:rsidRPr="002F3907">
              <w:rPr>
                <w:rFonts w:asciiTheme="minorHAnsi" w:hAnsiTheme="minorHAnsi" w:cstheme="minorHAnsi"/>
                <w:noProof/>
                <w:webHidden/>
                <w:color w:val="1F4E79" w:themeColor="accent5" w:themeShade="80"/>
              </w:rPr>
              <w:t>7</w:t>
            </w:r>
            <w:r w:rsidR="002F3907" w:rsidRPr="002F3907">
              <w:rPr>
                <w:rFonts w:asciiTheme="minorHAnsi" w:hAnsiTheme="minorHAnsi" w:cstheme="minorHAnsi"/>
                <w:noProof/>
                <w:webHidden/>
                <w:color w:val="1F4E79" w:themeColor="accent5" w:themeShade="80"/>
              </w:rPr>
              <w:fldChar w:fldCharType="end"/>
            </w:r>
          </w:hyperlink>
        </w:p>
        <w:p w14:paraId="71E7B10D" w14:textId="5A5FB04D" w:rsidR="002F3907" w:rsidRPr="002F3907" w:rsidRDefault="007E2F45">
          <w:pPr>
            <w:pStyle w:val="Sumrio1"/>
            <w:tabs>
              <w:tab w:val="right" w:leader="dot" w:pos="9060"/>
            </w:tabs>
            <w:rPr>
              <w:rFonts w:asciiTheme="minorHAnsi" w:eastAsiaTheme="minorEastAsia" w:hAnsiTheme="minorHAnsi" w:cstheme="minorHAnsi"/>
              <w:noProof/>
              <w:color w:val="1F4E79" w:themeColor="accent5" w:themeShade="80"/>
              <w:lang w:val="pt-BR" w:eastAsia="pt-BR"/>
            </w:rPr>
          </w:pPr>
          <w:hyperlink w:anchor="_Toc74468851" w:history="1">
            <w:r w:rsidR="002F3907" w:rsidRPr="002F3907">
              <w:rPr>
                <w:rStyle w:val="Hyperlink"/>
                <w:rFonts w:asciiTheme="minorHAnsi" w:hAnsiTheme="minorHAnsi" w:cstheme="minorHAnsi"/>
                <w:noProof/>
                <w:color w:val="1F4E79" w:themeColor="accent5" w:themeShade="80"/>
              </w:rPr>
              <w:t>3.1 Norma ABNT NBR ISO 31000:2018</w:t>
            </w:r>
            <w:r w:rsidR="002F3907" w:rsidRPr="002F3907">
              <w:rPr>
                <w:rFonts w:asciiTheme="minorHAnsi" w:hAnsiTheme="minorHAnsi" w:cstheme="minorHAnsi"/>
                <w:noProof/>
                <w:webHidden/>
                <w:color w:val="1F4E79" w:themeColor="accent5" w:themeShade="80"/>
              </w:rPr>
              <w:tab/>
            </w:r>
            <w:r w:rsidR="002F3907" w:rsidRPr="002F3907">
              <w:rPr>
                <w:rFonts w:asciiTheme="minorHAnsi" w:hAnsiTheme="minorHAnsi" w:cstheme="minorHAnsi"/>
                <w:noProof/>
                <w:webHidden/>
                <w:color w:val="1F4E79" w:themeColor="accent5" w:themeShade="80"/>
              </w:rPr>
              <w:fldChar w:fldCharType="begin"/>
            </w:r>
            <w:r w:rsidR="002F3907" w:rsidRPr="002F3907">
              <w:rPr>
                <w:rFonts w:asciiTheme="minorHAnsi" w:hAnsiTheme="minorHAnsi" w:cstheme="minorHAnsi"/>
                <w:noProof/>
                <w:webHidden/>
                <w:color w:val="1F4E79" w:themeColor="accent5" w:themeShade="80"/>
              </w:rPr>
              <w:instrText xml:space="preserve"> PAGEREF _Toc74468851 \h </w:instrText>
            </w:r>
            <w:r w:rsidR="002F3907" w:rsidRPr="002F3907">
              <w:rPr>
                <w:rFonts w:asciiTheme="minorHAnsi" w:hAnsiTheme="minorHAnsi" w:cstheme="minorHAnsi"/>
                <w:noProof/>
                <w:webHidden/>
                <w:color w:val="1F4E79" w:themeColor="accent5" w:themeShade="80"/>
              </w:rPr>
            </w:r>
            <w:r w:rsidR="002F3907" w:rsidRPr="002F3907">
              <w:rPr>
                <w:rFonts w:asciiTheme="minorHAnsi" w:hAnsiTheme="minorHAnsi" w:cstheme="minorHAnsi"/>
                <w:noProof/>
                <w:webHidden/>
                <w:color w:val="1F4E79" w:themeColor="accent5" w:themeShade="80"/>
              </w:rPr>
              <w:fldChar w:fldCharType="separate"/>
            </w:r>
            <w:r w:rsidR="002F3907" w:rsidRPr="002F3907">
              <w:rPr>
                <w:rFonts w:asciiTheme="minorHAnsi" w:hAnsiTheme="minorHAnsi" w:cstheme="minorHAnsi"/>
                <w:noProof/>
                <w:webHidden/>
                <w:color w:val="1F4E79" w:themeColor="accent5" w:themeShade="80"/>
              </w:rPr>
              <w:t>7</w:t>
            </w:r>
            <w:r w:rsidR="002F3907" w:rsidRPr="002F3907">
              <w:rPr>
                <w:rFonts w:asciiTheme="minorHAnsi" w:hAnsiTheme="minorHAnsi" w:cstheme="minorHAnsi"/>
                <w:noProof/>
                <w:webHidden/>
                <w:color w:val="1F4E79" w:themeColor="accent5" w:themeShade="80"/>
              </w:rPr>
              <w:fldChar w:fldCharType="end"/>
            </w:r>
          </w:hyperlink>
        </w:p>
        <w:p w14:paraId="60802B8B" w14:textId="34332279" w:rsidR="002F3907" w:rsidRPr="002F3907" w:rsidRDefault="007E2F45">
          <w:pPr>
            <w:pStyle w:val="Sumrio1"/>
            <w:tabs>
              <w:tab w:val="right" w:leader="dot" w:pos="9060"/>
            </w:tabs>
            <w:rPr>
              <w:rFonts w:asciiTheme="minorHAnsi" w:eastAsiaTheme="minorEastAsia" w:hAnsiTheme="minorHAnsi" w:cstheme="minorHAnsi"/>
              <w:noProof/>
              <w:color w:val="1F4E79" w:themeColor="accent5" w:themeShade="80"/>
              <w:lang w:val="pt-BR" w:eastAsia="pt-BR"/>
            </w:rPr>
          </w:pPr>
          <w:hyperlink w:anchor="_Toc74468852" w:history="1">
            <w:r w:rsidR="002F3907" w:rsidRPr="002F3907">
              <w:rPr>
                <w:rStyle w:val="Hyperlink"/>
                <w:rFonts w:asciiTheme="minorHAnsi" w:hAnsiTheme="minorHAnsi" w:cstheme="minorHAnsi"/>
                <w:noProof/>
                <w:color w:val="1F4E79" w:themeColor="accent5" w:themeShade="80"/>
              </w:rPr>
              <w:t>3.2 COSO ERM 2017</w:t>
            </w:r>
            <w:r w:rsidR="002F3907" w:rsidRPr="002F3907">
              <w:rPr>
                <w:rFonts w:asciiTheme="minorHAnsi" w:hAnsiTheme="minorHAnsi" w:cstheme="minorHAnsi"/>
                <w:noProof/>
                <w:webHidden/>
                <w:color w:val="1F4E79" w:themeColor="accent5" w:themeShade="80"/>
              </w:rPr>
              <w:tab/>
            </w:r>
            <w:r w:rsidR="002F3907" w:rsidRPr="002F3907">
              <w:rPr>
                <w:rFonts w:asciiTheme="minorHAnsi" w:hAnsiTheme="minorHAnsi" w:cstheme="minorHAnsi"/>
                <w:noProof/>
                <w:webHidden/>
                <w:color w:val="1F4E79" w:themeColor="accent5" w:themeShade="80"/>
              </w:rPr>
              <w:fldChar w:fldCharType="begin"/>
            </w:r>
            <w:r w:rsidR="002F3907" w:rsidRPr="002F3907">
              <w:rPr>
                <w:rFonts w:asciiTheme="minorHAnsi" w:hAnsiTheme="minorHAnsi" w:cstheme="minorHAnsi"/>
                <w:noProof/>
                <w:webHidden/>
                <w:color w:val="1F4E79" w:themeColor="accent5" w:themeShade="80"/>
              </w:rPr>
              <w:instrText xml:space="preserve"> PAGEREF _Toc74468852 \h </w:instrText>
            </w:r>
            <w:r w:rsidR="002F3907" w:rsidRPr="002F3907">
              <w:rPr>
                <w:rFonts w:asciiTheme="minorHAnsi" w:hAnsiTheme="minorHAnsi" w:cstheme="minorHAnsi"/>
                <w:noProof/>
                <w:webHidden/>
                <w:color w:val="1F4E79" w:themeColor="accent5" w:themeShade="80"/>
              </w:rPr>
            </w:r>
            <w:r w:rsidR="002F3907" w:rsidRPr="002F3907">
              <w:rPr>
                <w:rFonts w:asciiTheme="minorHAnsi" w:hAnsiTheme="minorHAnsi" w:cstheme="minorHAnsi"/>
                <w:noProof/>
                <w:webHidden/>
                <w:color w:val="1F4E79" w:themeColor="accent5" w:themeShade="80"/>
              </w:rPr>
              <w:fldChar w:fldCharType="separate"/>
            </w:r>
            <w:r w:rsidR="002F3907" w:rsidRPr="002F3907">
              <w:rPr>
                <w:rFonts w:asciiTheme="minorHAnsi" w:hAnsiTheme="minorHAnsi" w:cstheme="minorHAnsi"/>
                <w:noProof/>
                <w:webHidden/>
                <w:color w:val="1F4E79" w:themeColor="accent5" w:themeShade="80"/>
              </w:rPr>
              <w:t>9</w:t>
            </w:r>
            <w:r w:rsidR="002F3907" w:rsidRPr="002F3907">
              <w:rPr>
                <w:rFonts w:asciiTheme="minorHAnsi" w:hAnsiTheme="minorHAnsi" w:cstheme="minorHAnsi"/>
                <w:noProof/>
                <w:webHidden/>
                <w:color w:val="1F4E79" w:themeColor="accent5" w:themeShade="80"/>
              </w:rPr>
              <w:fldChar w:fldCharType="end"/>
            </w:r>
          </w:hyperlink>
        </w:p>
        <w:p w14:paraId="30135C06" w14:textId="07B8523A" w:rsidR="002F3907" w:rsidRPr="002F3907" w:rsidRDefault="007E2F45">
          <w:pPr>
            <w:pStyle w:val="Sumrio1"/>
            <w:tabs>
              <w:tab w:val="right" w:leader="dot" w:pos="9060"/>
            </w:tabs>
            <w:rPr>
              <w:rFonts w:asciiTheme="minorHAnsi" w:eastAsiaTheme="minorEastAsia" w:hAnsiTheme="minorHAnsi" w:cstheme="minorHAnsi"/>
              <w:noProof/>
              <w:color w:val="1F4E79" w:themeColor="accent5" w:themeShade="80"/>
              <w:lang w:val="pt-BR" w:eastAsia="pt-BR"/>
            </w:rPr>
          </w:pPr>
          <w:hyperlink w:anchor="_Toc74468853" w:history="1">
            <w:r w:rsidR="002F3907" w:rsidRPr="002F3907">
              <w:rPr>
                <w:rStyle w:val="Hyperlink"/>
                <w:rFonts w:asciiTheme="minorHAnsi" w:hAnsiTheme="minorHAnsi" w:cstheme="minorHAnsi"/>
                <w:noProof/>
                <w:color w:val="1F4E79" w:themeColor="accent5" w:themeShade="80"/>
              </w:rPr>
              <w:t>3.3 Linhas de Defesa</w:t>
            </w:r>
            <w:r w:rsidR="002F3907" w:rsidRPr="002F3907">
              <w:rPr>
                <w:rFonts w:asciiTheme="minorHAnsi" w:hAnsiTheme="minorHAnsi" w:cstheme="minorHAnsi"/>
                <w:noProof/>
                <w:webHidden/>
                <w:color w:val="1F4E79" w:themeColor="accent5" w:themeShade="80"/>
              </w:rPr>
              <w:tab/>
            </w:r>
            <w:r w:rsidR="002F3907" w:rsidRPr="002F3907">
              <w:rPr>
                <w:rFonts w:asciiTheme="minorHAnsi" w:hAnsiTheme="minorHAnsi" w:cstheme="minorHAnsi"/>
                <w:noProof/>
                <w:webHidden/>
                <w:color w:val="1F4E79" w:themeColor="accent5" w:themeShade="80"/>
              </w:rPr>
              <w:fldChar w:fldCharType="begin"/>
            </w:r>
            <w:r w:rsidR="002F3907" w:rsidRPr="002F3907">
              <w:rPr>
                <w:rFonts w:asciiTheme="minorHAnsi" w:hAnsiTheme="minorHAnsi" w:cstheme="minorHAnsi"/>
                <w:noProof/>
                <w:webHidden/>
                <w:color w:val="1F4E79" w:themeColor="accent5" w:themeShade="80"/>
              </w:rPr>
              <w:instrText xml:space="preserve"> PAGEREF _Toc74468853 \h </w:instrText>
            </w:r>
            <w:r w:rsidR="002F3907" w:rsidRPr="002F3907">
              <w:rPr>
                <w:rFonts w:asciiTheme="minorHAnsi" w:hAnsiTheme="minorHAnsi" w:cstheme="minorHAnsi"/>
                <w:noProof/>
                <w:webHidden/>
                <w:color w:val="1F4E79" w:themeColor="accent5" w:themeShade="80"/>
              </w:rPr>
            </w:r>
            <w:r w:rsidR="002F3907" w:rsidRPr="002F3907">
              <w:rPr>
                <w:rFonts w:asciiTheme="minorHAnsi" w:hAnsiTheme="minorHAnsi" w:cstheme="minorHAnsi"/>
                <w:noProof/>
                <w:webHidden/>
                <w:color w:val="1F4E79" w:themeColor="accent5" w:themeShade="80"/>
              </w:rPr>
              <w:fldChar w:fldCharType="separate"/>
            </w:r>
            <w:r w:rsidR="002F3907" w:rsidRPr="002F3907">
              <w:rPr>
                <w:rFonts w:asciiTheme="minorHAnsi" w:hAnsiTheme="minorHAnsi" w:cstheme="minorHAnsi"/>
                <w:noProof/>
                <w:webHidden/>
                <w:color w:val="1F4E79" w:themeColor="accent5" w:themeShade="80"/>
              </w:rPr>
              <w:t>15</w:t>
            </w:r>
            <w:r w:rsidR="002F3907" w:rsidRPr="002F3907">
              <w:rPr>
                <w:rFonts w:asciiTheme="minorHAnsi" w:hAnsiTheme="minorHAnsi" w:cstheme="minorHAnsi"/>
                <w:noProof/>
                <w:webHidden/>
                <w:color w:val="1F4E79" w:themeColor="accent5" w:themeShade="80"/>
              </w:rPr>
              <w:fldChar w:fldCharType="end"/>
            </w:r>
          </w:hyperlink>
        </w:p>
        <w:p w14:paraId="71BE1490" w14:textId="646CE4C3" w:rsidR="002F3907" w:rsidRPr="002F3907" w:rsidRDefault="007E2F45">
          <w:pPr>
            <w:pStyle w:val="Sumrio1"/>
            <w:tabs>
              <w:tab w:val="left" w:pos="1540"/>
              <w:tab w:val="right" w:leader="dot" w:pos="9060"/>
            </w:tabs>
            <w:rPr>
              <w:rFonts w:asciiTheme="minorHAnsi" w:eastAsiaTheme="minorEastAsia" w:hAnsiTheme="minorHAnsi" w:cstheme="minorHAnsi"/>
              <w:noProof/>
              <w:color w:val="1F4E79" w:themeColor="accent5" w:themeShade="80"/>
              <w:lang w:val="pt-BR" w:eastAsia="pt-BR"/>
            </w:rPr>
          </w:pPr>
          <w:hyperlink w:anchor="_Toc74468854" w:history="1">
            <w:r w:rsidR="002F3907" w:rsidRPr="002F3907">
              <w:rPr>
                <w:rStyle w:val="Hyperlink"/>
                <w:rFonts w:asciiTheme="minorHAnsi" w:hAnsiTheme="minorHAnsi" w:cstheme="minorHAnsi"/>
                <w:b/>
                <w:bCs/>
                <w:noProof/>
                <w:color w:val="1F4E79" w:themeColor="accent5" w:themeShade="80"/>
              </w:rPr>
              <w:t>4.</w:t>
            </w:r>
            <w:r w:rsidR="002F3907" w:rsidRPr="002F3907">
              <w:rPr>
                <w:rFonts w:asciiTheme="minorHAnsi" w:eastAsiaTheme="minorEastAsia" w:hAnsiTheme="minorHAnsi" w:cstheme="minorHAnsi"/>
                <w:noProof/>
                <w:color w:val="1F4E79" w:themeColor="accent5" w:themeShade="80"/>
                <w:lang w:val="pt-BR" w:eastAsia="pt-BR"/>
              </w:rPr>
              <w:tab/>
            </w:r>
            <w:r w:rsidR="002F3907" w:rsidRPr="002F3907">
              <w:rPr>
                <w:rStyle w:val="Hyperlink"/>
                <w:rFonts w:asciiTheme="minorHAnsi" w:hAnsiTheme="minorHAnsi" w:cstheme="minorHAnsi"/>
                <w:b/>
                <w:bCs/>
                <w:noProof/>
                <w:color w:val="1F4E79" w:themeColor="accent5" w:themeShade="80"/>
              </w:rPr>
              <w:t>ESTRUTURA DE GOVERNANÇA DE GESTÃO DE RISCOS NO MS</w:t>
            </w:r>
            <w:r w:rsidR="002F3907" w:rsidRPr="002F3907">
              <w:rPr>
                <w:rFonts w:asciiTheme="minorHAnsi" w:hAnsiTheme="minorHAnsi" w:cstheme="minorHAnsi"/>
                <w:noProof/>
                <w:webHidden/>
                <w:color w:val="1F4E79" w:themeColor="accent5" w:themeShade="80"/>
              </w:rPr>
              <w:tab/>
            </w:r>
            <w:r w:rsidR="002F3907" w:rsidRPr="002F3907">
              <w:rPr>
                <w:rFonts w:asciiTheme="minorHAnsi" w:hAnsiTheme="minorHAnsi" w:cstheme="minorHAnsi"/>
                <w:noProof/>
                <w:webHidden/>
                <w:color w:val="1F4E79" w:themeColor="accent5" w:themeShade="80"/>
              </w:rPr>
              <w:fldChar w:fldCharType="begin"/>
            </w:r>
            <w:r w:rsidR="002F3907" w:rsidRPr="002F3907">
              <w:rPr>
                <w:rFonts w:asciiTheme="minorHAnsi" w:hAnsiTheme="minorHAnsi" w:cstheme="minorHAnsi"/>
                <w:noProof/>
                <w:webHidden/>
                <w:color w:val="1F4E79" w:themeColor="accent5" w:themeShade="80"/>
              </w:rPr>
              <w:instrText xml:space="preserve"> PAGEREF _Toc74468854 \h </w:instrText>
            </w:r>
            <w:r w:rsidR="002F3907" w:rsidRPr="002F3907">
              <w:rPr>
                <w:rFonts w:asciiTheme="minorHAnsi" w:hAnsiTheme="minorHAnsi" w:cstheme="minorHAnsi"/>
                <w:noProof/>
                <w:webHidden/>
                <w:color w:val="1F4E79" w:themeColor="accent5" w:themeShade="80"/>
              </w:rPr>
            </w:r>
            <w:r w:rsidR="002F3907" w:rsidRPr="002F3907">
              <w:rPr>
                <w:rFonts w:asciiTheme="minorHAnsi" w:hAnsiTheme="minorHAnsi" w:cstheme="minorHAnsi"/>
                <w:noProof/>
                <w:webHidden/>
                <w:color w:val="1F4E79" w:themeColor="accent5" w:themeShade="80"/>
              </w:rPr>
              <w:fldChar w:fldCharType="separate"/>
            </w:r>
            <w:r w:rsidR="002F3907" w:rsidRPr="002F3907">
              <w:rPr>
                <w:rFonts w:asciiTheme="minorHAnsi" w:hAnsiTheme="minorHAnsi" w:cstheme="minorHAnsi"/>
                <w:noProof/>
                <w:webHidden/>
                <w:color w:val="1F4E79" w:themeColor="accent5" w:themeShade="80"/>
              </w:rPr>
              <w:t>16</w:t>
            </w:r>
            <w:r w:rsidR="002F3907" w:rsidRPr="002F3907">
              <w:rPr>
                <w:rFonts w:asciiTheme="minorHAnsi" w:hAnsiTheme="minorHAnsi" w:cstheme="minorHAnsi"/>
                <w:noProof/>
                <w:webHidden/>
                <w:color w:val="1F4E79" w:themeColor="accent5" w:themeShade="80"/>
              </w:rPr>
              <w:fldChar w:fldCharType="end"/>
            </w:r>
          </w:hyperlink>
        </w:p>
        <w:p w14:paraId="2427D5F8" w14:textId="74BC5BF6" w:rsidR="002F3907" w:rsidRPr="002F3907" w:rsidRDefault="007E2F45">
          <w:pPr>
            <w:pStyle w:val="Sumrio1"/>
            <w:tabs>
              <w:tab w:val="left" w:pos="1760"/>
              <w:tab w:val="right" w:leader="dot" w:pos="9060"/>
            </w:tabs>
            <w:rPr>
              <w:rFonts w:asciiTheme="minorHAnsi" w:eastAsiaTheme="minorEastAsia" w:hAnsiTheme="minorHAnsi" w:cstheme="minorHAnsi"/>
              <w:noProof/>
              <w:color w:val="1F4E79" w:themeColor="accent5" w:themeShade="80"/>
              <w:lang w:val="pt-BR" w:eastAsia="pt-BR"/>
            </w:rPr>
          </w:pPr>
          <w:hyperlink w:anchor="_Toc74468855" w:history="1">
            <w:r w:rsidR="002F3907" w:rsidRPr="002F3907">
              <w:rPr>
                <w:rStyle w:val="Hyperlink"/>
                <w:rFonts w:asciiTheme="minorHAnsi" w:hAnsiTheme="minorHAnsi" w:cstheme="minorHAnsi"/>
                <w:noProof/>
                <w:color w:val="1F4E79" w:themeColor="accent5" w:themeShade="80"/>
              </w:rPr>
              <w:t>4.1</w:t>
            </w:r>
            <w:r w:rsidR="002F3907" w:rsidRPr="002F3907">
              <w:rPr>
                <w:rFonts w:asciiTheme="minorHAnsi" w:eastAsiaTheme="minorEastAsia" w:hAnsiTheme="minorHAnsi" w:cstheme="minorHAnsi"/>
                <w:noProof/>
                <w:color w:val="1F4E79" w:themeColor="accent5" w:themeShade="80"/>
                <w:lang w:val="pt-BR" w:eastAsia="pt-BR"/>
              </w:rPr>
              <w:tab/>
            </w:r>
            <w:r w:rsidR="002F3907" w:rsidRPr="002F3907">
              <w:rPr>
                <w:rStyle w:val="Hyperlink"/>
                <w:rFonts w:asciiTheme="minorHAnsi" w:hAnsiTheme="minorHAnsi" w:cstheme="minorHAnsi"/>
                <w:noProof/>
                <w:color w:val="1F4E79" w:themeColor="accent5" w:themeShade="80"/>
              </w:rPr>
              <w:t>Comitê Interno de Governança (CIG)</w:t>
            </w:r>
            <w:r w:rsidR="002F3907" w:rsidRPr="002F3907">
              <w:rPr>
                <w:rFonts w:asciiTheme="minorHAnsi" w:hAnsiTheme="minorHAnsi" w:cstheme="minorHAnsi"/>
                <w:noProof/>
                <w:webHidden/>
                <w:color w:val="1F4E79" w:themeColor="accent5" w:themeShade="80"/>
              </w:rPr>
              <w:tab/>
            </w:r>
            <w:r w:rsidR="002F3907" w:rsidRPr="002F3907">
              <w:rPr>
                <w:rFonts w:asciiTheme="minorHAnsi" w:hAnsiTheme="minorHAnsi" w:cstheme="minorHAnsi"/>
                <w:noProof/>
                <w:webHidden/>
                <w:color w:val="1F4E79" w:themeColor="accent5" w:themeShade="80"/>
              </w:rPr>
              <w:fldChar w:fldCharType="begin"/>
            </w:r>
            <w:r w:rsidR="002F3907" w:rsidRPr="002F3907">
              <w:rPr>
                <w:rFonts w:asciiTheme="minorHAnsi" w:hAnsiTheme="minorHAnsi" w:cstheme="minorHAnsi"/>
                <w:noProof/>
                <w:webHidden/>
                <w:color w:val="1F4E79" w:themeColor="accent5" w:themeShade="80"/>
              </w:rPr>
              <w:instrText xml:space="preserve"> PAGEREF _Toc74468855 \h </w:instrText>
            </w:r>
            <w:r w:rsidR="002F3907" w:rsidRPr="002F3907">
              <w:rPr>
                <w:rFonts w:asciiTheme="minorHAnsi" w:hAnsiTheme="minorHAnsi" w:cstheme="minorHAnsi"/>
                <w:noProof/>
                <w:webHidden/>
                <w:color w:val="1F4E79" w:themeColor="accent5" w:themeShade="80"/>
              </w:rPr>
            </w:r>
            <w:r w:rsidR="002F3907" w:rsidRPr="002F3907">
              <w:rPr>
                <w:rFonts w:asciiTheme="minorHAnsi" w:hAnsiTheme="minorHAnsi" w:cstheme="minorHAnsi"/>
                <w:noProof/>
                <w:webHidden/>
                <w:color w:val="1F4E79" w:themeColor="accent5" w:themeShade="80"/>
              </w:rPr>
              <w:fldChar w:fldCharType="separate"/>
            </w:r>
            <w:r w:rsidR="002F3907" w:rsidRPr="002F3907">
              <w:rPr>
                <w:rFonts w:asciiTheme="minorHAnsi" w:hAnsiTheme="minorHAnsi" w:cstheme="minorHAnsi"/>
                <w:noProof/>
                <w:webHidden/>
                <w:color w:val="1F4E79" w:themeColor="accent5" w:themeShade="80"/>
              </w:rPr>
              <w:t>18</w:t>
            </w:r>
            <w:r w:rsidR="002F3907" w:rsidRPr="002F3907">
              <w:rPr>
                <w:rFonts w:asciiTheme="minorHAnsi" w:hAnsiTheme="minorHAnsi" w:cstheme="minorHAnsi"/>
                <w:noProof/>
                <w:webHidden/>
                <w:color w:val="1F4E79" w:themeColor="accent5" w:themeShade="80"/>
              </w:rPr>
              <w:fldChar w:fldCharType="end"/>
            </w:r>
          </w:hyperlink>
        </w:p>
        <w:p w14:paraId="27485619" w14:textId="715F7442" w:rsidR="002F3907" w:rsidRPr="002F3907" w:rsidRDefault="007E2F45">
          <w:pPr>
            <w:pStyle w:val="Sumrio1"/>
            <w:tabs>
              <w:tab w:val="left" w:pos="1760"/>
              <w:tab w:val="right" w:leader="dot" w:pos="9060"/>
            </w:tabs>
            <w:rPr>
              <w:rFonts w:asciiTheme="minorHAnsi" w:eastAsiaTheme="minorEastAsia" w:hAnsiTheme="minorHAnsi" w:cstheme="minorHAnsi"/>
              <w:noProof/>
              <w:color w:val="1F4E79" w:themeColor="accent5" w:themeShade="80"/>
              <w:lang w:val="pt-BR" w:eastAsia="pt-BR"/>
            </w:rPr>
          </w:pPr>
          <w:hyperlink w:anchor="_Toc74468856" w:history="1">
            <w:r w:rsidR="002F3907" w:rsidRPr="002F3907">
              <w:rPr>
                <w:rStyle w:val="Hyperlink"/>
                <w:rFonts w:asciiTheme="minorHAnsi" w:hAnsiTheme="minorHAnsi" w:cstheme="minorHAnsi"/>
                <w:noProof/>
                <w:color w:val="1F4E79" w:themeColor="accent5" w:themeShade="80"/>
              </w:rPr>
              <w:t>4.2</w:t>
            </w:r>
            <w:r w:rsidR="002F3907" w:rsidRPr="002F3907">
              <w:rPr>
                <w:rFonts w:asciiTheme="minorHAnsi" w:eastAsiaTheme="minorEastAsia" w:hAnsiTheme="minorHAnsi" w:cstheme="minorHAnsi"/>
                <w:noProof/>
                <w:color w:val="1F4E79" w:themeColor="accent5" w:themeShade="80"/>
                <w:lang w:val="pt-BR" w:eastAsia="pt-BR"/>
              </w:rPr>
              <w:tab/>
            </w:r>
            <w:r w:rsidR="002F3907" w:rsidRPr="002F3907">
              <w:rPr>
                <w:rStyle w:val="Hyperlink"/>
                <w:rFonts w:asciiTheme="minorHAnsi" w:hAnsiTheme="minorHAnsi" w:cstheme="minorHAnsi"/>
                <w:noProof/>
                <w:color w:val="1F4E79" w:themeColor="accent5" w:themeShade="80"/>
              </w:rPr>
              <w:t>Comitê de Gestão de Riscos (CGR)</w:t>
            </w:r>
            <w:r w:rsidR="002F3907" w:rsidRPr="002F3907">
              <w:rPr>
                <w:rFonts w:asciiTheme="minorHAnsi" w:hAnsiTheme="minorHAnsi" w:cstheme="minorHAnsi"/>
                <w:noProof/>
                <w:webHidden/>
                <w:color w:val="1F4E79" w:themeColor="accent5" w:themeShade="80"/>
              </w:rPr>
              <w:tab/>
            </w:r>
            <w:r w:rsidR="002F3907" w:rsidRPr="002F3907">
              <w:rPr>
                <w:rFonts w:asciiTheme="minorHAnsi" w:hAnsiTheme="minorHAnsi" w:cstheme="minorHAnsi"/>
                <w:noProof/>
                <w:webHidden/>
                <w:color w:val="1F4E79" w:themeColor="accent5" w:themeShade="80"/>
              </w:rPr>
              <w:fldChar w:fldCharType="begin"/>
            </w:r>
            <w:r w:rsidR="002F3907" w:rsidRPr="002F3907">
              <w:rPr>
                <w:rFonts w:asciiTheme="minorHAnsi" w:hAnsiTheme="minorHAnsi" w:cstheme="minorHAnsi"/>
                <w:noProof/>
                <w:webHidden/>
                <w:color w:val="1F4E79" w:themeColor="accent5" w:themeShade="80"/>
              </w:rPr>
              <w:instrText xml:space="preserve"> PAGEREF _Toc74468856 \h </w:instrText>
            </w:r>
            <w:r w:rsidR="002F3907" w:rsidRPr="002F3907">
              <w:rPr>
                <w:rFonts w:asciiTheme="minorHAnsi" w:hAnsiTheme="minorHAnsi" w:cstheme="minorHAnsi"/>
                <w:noProof/>
                <w:webHidden/>
                <w:color w:val="1F4E79" w:themeColor="accent5" w:themeShade="80"/>
              </w:rPr>
            </w:r>
            <w:r w:rsidR="002F3907" w:rsidRPr="002F3907">
              <w:rPr>
                <w:rFonts w:asciiTheme="minorHAnsi" w:hAnsiTheme="minorHAnsi" w:cstheme="minorHAnsi"/>
                <w:noProof/>
                <w:webHidden/>
                <w:color w:val="1F4E79" w:themeColor="accent5" w:themeShade="80"/>
              </w:rPr>
              <w:fldChar w:fldCharType="separate"/>
            </w:r>
            <w:r w:rsidR="002F3907" w:rsidRPr="002F3907">
              <w:rPr>
                <w:rFonts w:asciiTheme="minorHAnsi" w:hAnsiTheme="minorHAnsi" w:cstheme="minorHAnsi"/>
                <w:noProof/>
                <w:webHidden/>
                <w:color w:val="1F4E79" w:themeColor="accent5" w:themeShade="80"/>
              </w:rPr>
              <w:t>18</w:t>
            </w:r>
            <w:r w:rsidR="002F3907" w:rsidRPr="002F3907">
              <w:rPr>
                <w:rFonts w:asciiTheme="minorHAnsi" w:hAnsiTheme="minorHAnsi" w:cstheme="minorHAnsi"/>
                <w:noProof/>
                <w:webHidden/>
                <w:color w:val="1F4E79" w:themeColor="accent5" w:themeShade="80"/>
              </w:rPr>
              <w:fldChar w:fldCharType="end"/>
            </w:r>
          </w:hyperlink>
        </w:p>
        <w:p w14:paraId="1D1BD01B" w14:textId="339C8393" w:rsidR="002F3907" w:rsidRPr="002F3907" w:rsidRDefault="007E2F45">
          <w:pPr>
            <w:pStyle w:val="Sumrio1"/>
            <w:tabs>
              <w:tab w:val="left" w:pos="1760"/>
              <w:tab w:val="right" w:leader="dot" w:pos="9060"/>
            </w:tabs>
            <w:rPr>
              <w:rFonts w:asciiTheme="minorHAnsi" w:eastAsiaTheme="minorEastAsia" w:hAnsiTheme="minorHAnsi" w:cstheme="minorHAnsi"/>
              <w:noProof/>
              <w:color w:val="1F4E79" w:themeColor="accent5" w:themeShade="80"/>
              <w:lang w:val="pt-BR" w:eastAsia="pt-BR"/>
            </w:rPr>
          </w:pPr>
          <w:hyperlink w:anchor="_Toc74468857" w:history="1">
            <w:r w:rsidR="002F3907" w:rsidRPr="002F3907">
              <w:rPr>
                <w:rStyle w:val="Hyperlink"/>
                <w:rFonts w:asciiTheme="minorHAnsi" w:hAnsiTheme="minorHAnsi" w:cstheme="minorHAnsi"/>
                <w:noProof/>
                <w:color w:val="1F4E79" w:themeColor="accent5" w:themeShade="80"/>
              </w:rPr>
              <w:t>4.3</w:t>
            </w:r>
            <w:r w:rsidR="002F3907" w:rsidRPr="002F3907">
              <w:rPr>
                <w:rFonts w:asciiTheme="minorHAnsi" w:eastAsiaTheme="minorEastAsia" w:hAnsiTheme="minorHAnsi" w:cstheme="minorHAnsi"/>
                <w:noProof/>
                <w:color w:val="1F4E79" w:themeColor="accent5" w:themeShade="80"/>
                <w:lang w:val="pt-BR" w:eastAsia="pt-BR"/>
              </w:rPr>
              <w:tab/>
            </w:r>
            <w:r w:rsidR="002F3907" w:rsidRPr="002F3907">
              <w:rPr>
                <w:rStyle w:val="Hyperlink"/>
                <w:rFonts w:asciiTheme="minorHAnsi" w:hAnsiTheme="minorHAnsi" w:cstheme="minorHAnsi"/>
                <w:noProof/>
                <w:color w:val="1F4E79" w:themeColor="accent5" w:themeShade="80"/>
              </w:rPr>
              <w:t>Unidade de Gestão de Riscos e Integridade (UGRI)</w:t>
            </w:r>
            <w:r w:rsidR="002F3907" w:rsidRPr="002F3907">
              <w:rPr>
                <w:rFonts w:asciiTheme="minorHAnsi" w:hAnsiTheme="minorHAnsi" w:cstheme="minorHAnsi"/>
                <w:noProof/>
                <w:webHidden/>
                <w:color w:val="1F4E79" w:themeColor="accent5" w:themeShade="80"/>
              </w:rPr>
              <w:tab/>
            </w:r>
            <w:r w:rsidR="002F3907" w:rsidRPr="002F3907">
              <w:rPr>
                <w:rFonts w:asciiTheme="minorHAnsi" w:hAnsiTheme="minorHAnsi" w:cstheme="minorHAnsi"/>
                <w:noProof/>
                <w:webHidden/>
                <w:color w:val="1F4E79" w:themeColor="accent5" w:themeShade="80"/>
              </w:rPr>
              <w:fldChar w:fldCharType="begin"/>
            </w:r>
            <w:r w:rsidR="002F3907" w:rsidRPr="002F3907">
              <w:rPr>
                <w:rFonts w:asciiTheme="minorHAnsi" w:hAnsiTheme="minorHAnsi" w:cstheme="minorHAnsi"/>
                <w:noProof/>
                <w:webHidden/>
                <w:color w:val="1F4E79" w:themeColor="accent5" w:themeShade="80"/>
              </w:rPr>
              <w:instrText xml:space="preserve"> PAGEREF _Toc74468857 \h </w:instrText>
            </w:r>
            <w:r w:rsidR="002F3907" w:rsidRPr="002F3907">
              <w:rPr>
                <w:rFonts w:asciiTheme="minorHAnsi" w:hAnsiTheme="minorHAnsi" w:cstheme="minorHAnsi"/>
                <w:noProof/>
                <w:webHidden/>
                <w:color w:val="1F4E79" w:themeColor="accent5" w:themeShade="80"/>
              </w:rPr>
            </w:r>
            <w:r w:rsidR="002F3907" w:rsidRPr="002F3907">
              <w:rPr>
                <w:rFonts w:asciiTheme="minorHAnsi" w:hAnsiTheme="minorHAnsi" w:cstheme="minorHAnsi"/>
                <w:noProof/>
                <w:webHidden/>
                <w:color w:val="1F4E79" w:themeColor="accent5" w:themeShade="80"/>
              </w:rPr>
              <w:fldChar w:fldCharType="separate"/>
            </w:r>
            <w:r w:rsidR="002F3907" w:rsidRPr="002F3907">
              <w:rPr>
                <w:rFonts w:asciiTheme="minorHAnsi" w:hAnsiTheme="minorHAnsi" w:cstheme="minorHAnsi"/>
                <w:noProof/>
                <w:webHidden/>
                <w:color w:val="1F4E79" w:themeColor="accent5" w:themeShade="80"/>
              </w:rPr>
              <w:t>19</w:t>
            </w:r>
            <w:r w:rsidR="002F3907" w:rsidRPr="002F3907">
              <w:rPr>
                <w:rFonts w:asciiTheme="minorHAnsi" w:hAnsiTheme="minorHAnsi" w:cstheme="minorHAnsi"/>
                <w:noProof/>
                <w:webHidden/>
                <w:color w:val="1F4E79" w:themeColor="accent5" w:themeShade="80"/>
              </w:rPr>
              <w:fldChar w:fldCharType="end"/>
            </w:r>
          </w:hyperlink>
        </w:p>
        <w:p w14:paraId="4F0B592D" w14:textId="0245C0A1" w:rsidR="002F3907" w:rsidRPr="002F3907" w:rsidRDefault="007E2F45">
          <w:pPr>
            <w:pStyle w:val="Sumrio1"/>
            <w:tabs>
              <w:tab w:val="left" w:pos="1760"/>
              <w:tab w:val="right" w:leader="dot" w:pos="9060"/>
            </w:tabs>
            <w:rPr>
              <w:rFonts w:asciiTheme="minorHAnsi" w:eastAsiaTheme="minorEastAsia" w:hAnsiTheme="minorHAnsi" w:cstheme="minorHAnsi"/>
              <w:noProof/>
              <w:color w:val="1F4E79" w:themeColor="accent5" w:themeShade="80"/>
              <w:lang w:val="pt-BR" w:eastAsia="pt-BR"/>
            </w:rPr>
          </w:pPr>
          <w:hyperlink w:anchor="_Toc74468858" w:history="1">
            <w:r w:rsidR="002F3907" w:rsidRPr="002F3907">
              <w:rPr>
                <w:rStyle w:val="Hyperlink"/>
                <w:rFonts w:asciiTheme="minorHAnsi" w:hAnsiTheme="minorHAnsi" w:cstheme="minorHAnsi"/>
                <w:noProof/>
                <w:color w:val="1F4E79" w:themeColor="accent5" w:themeShade="80"/>
              </w:rPr>
              <w:t>4.4</w:t>
            </w:r>
            <w:r w:rsidR="002F3907" w:rsidRPr="002F3907">
              <w:rPr>
                <w:rFonts w:asciiTheme="minorHAnsi" w:eastAsiaTheme="minorEastAsia" w:hAnsiTheme="minorHAnsi" w:cstheme="minorHAnsi"/>
                <w:noProof/>
                <w:color w:val="1F4E79" w:themeColor="accent5" w:themeShade="80"/>
                <w:lang w:val="pt-BR" w:eastAsia="pt-BR"/>
              </w:rPr>
              <w:tab/>
            </w:r>
            <w:r w:rsidR="002F3907" w:rsidRPr="002F3907">
              <w:rPr>
                <w:rStyle w:val="Hyperlink"/>
                <w:rFonts w:asciiTheme="minorHAnsi" w:hAnsiTheme="minorHAnsi" w:cstheme="minorHAnsi"/>
                <w:noProof/>
                <w:color w:val="1F4E79" w:themeColor="accent5" w:themeShade="80"/>
              </w:rPr>
              <w:t>Gestor de Processo (GP)</w:t>
            </w:r>
            <w:r w:rsidR="002F3907" w:rsidRPr="002F3907">
              <w:rPr>
                <w:rFonts w:asciiTheme="minorHAnsi" w:hAnsiTheme="minorHAnsi" w:cstheme="minorHAnsi"/>
                <w:noProof/>
                <w:webHidden/>
                <w:color w:val="1F4E79" w:themeColor="accent5" w:themeShade="80"/>
              </w:rPr>
              <w:tab/>
            </w:r>
            <w:r w:rsidR="002F3907" w:rsidRPr="002F3907">
              <w:rPr>
                <w:rFonts w:asciiTheme="minorHAnsi" w:hAnsiTheme="minorHAnsi" w:cstheme="minorHAnsi"/>
                <w:noProof/>
                <w:webHidden/>
                <w:color w:val="1F4E79" w:themeColor="accent5" w:themeShade="80"/>
              </w:rPr>
              <w:fldChar w:fldCharType="begin"/>
            </w:r>
            <w:r w:rsidR="002F3907" w:rsidRPr="002F3907">
              <w:rPr>
                <w:rFonts w:asciiTheme="minorHAnsi" w:hAnsiTheme="minorHAnsi" w:cstheme="minorHAnsi"/>
                <w:noProof/>
                <w:webHidden/>
                <w:color w:val="1F4E79" w:themeColor="accent5" w:themeShade="80"/>
              </w:rPr>
              <w:instrText xml:space="preserve"> PAGEREF _Toc74468858 \h </w:instrText>
            </w:r>
            <w:r w:rsidR="002F3907" w:rsidRPr="002F3907">
              <w:rPr>
                <w:rFonts w:asciiTheme="minorHAnsi" w:hAnsiTheme="minorHAnsi" w:cstheme="minorHAnsi"/>
                <w:noProof/>
                <w:webHidden/>
                <w:color w:val="1F4E79" w:themeColor="accent5" w:themeShade="80"/>
              </w:rPr>
            </w:r>
            <w:r w:rsidR="002F3907" w:rsidRPr="002F3907">
              <w:rPr>
                <w:rFonts w:asciiTheme="minorHAnsi" w:hAnsiTheme="minorHAnsi" w:cstheme="minorHAnsi"/>
                <w:noProof/>
                <w:webHidden/>
                <w:color w:val="1F4E79" w:themeColor="accent5" w:themeShade="80"/>
              </w:rPr>
              <w:fldChar w:fldCharType="separate"/>
            </w:r>
            <w:r w:rsidR="002F3907" w:rsidRPr="002F3907">
              <w:rPr>
                <w:rFonts w:asciiTheme="minorHAnsi" w:hAnsiTheme="minorHAnsi" w:cstheme="minorHAnsi"/>
                <w:noProof/>
                <w:webHidden/>
                <w:color w:val="1F4E79" w:themeColor="accent5" w:themeShade="80"/>
              </w:rPr>
              <w:t>20</w:t>
            </w:r>
            <w:r w:rsidR="002F3907" w:rsidRPr="002F3907">
              <w:rPr>
                <w:rFonts w:asciiTheme="minorHAnsi" w:hAnsiTheme="minorHAnsi" w:cstheme="minorHAnsi"/>
                <w:noProof/>
                <w:webHidden/>
                <w:color w:val="1F4E79" w:themeColor="accent5" w:themeShade="80"/>
              </w:rPr>
              <w:fldChar w:fldCharType="end"/>
            </w:r>
          </w:hyperlink>
        </w:p>
        <w:p w14:paraId="0168E420" w14:textId="665C24D3" w:rsidR="002F3907" w:rsidRPr="002F3907" w:rsidRDefault="007E2F45">
          <w:pPr>
            <w:pStyle w:val="Sumrio1"/>
            <w:tabs>
              <w:tab w:val="left" w:pos="1760"/>
              <w:tab w:val="right" w:leader="dot" w:pos="9060"/>
            </w:tabs>
            <w:rPr>
              <w:rFonts w:asciiTheme="minorHAnsi" w:eastAsiaTheme="minorEastAsia" w:hAnsiTheme="minorHAnsi" w:cstheme="minorHAnsi"/>
              <w:noProof/>
              <w:color w:val="1F4E79" w:themeColor="accent5" w:themeShade="80"/>
              <w:lang w:val="pt-BR" w:eastAsia="pt-BR"/>
            </w:rPr>
          </w:pPr>
          <w:hyperlink w:anchor="_Toc74468859" w:history="1">
            <w:r w:rsidR="002F3907" w:rsidRPr="002F3907">
              <w:rPr>
                <w:rStyle w:val="Hyperlink"/>
                <w:rFonts w:asciiTheme="minorHAnsi" w:hAnsiTheme="minorHAnsi" w:cstheme="minorHAnsi"/>
                <w:noProof/>
                <w:color w:val="1F4E79" w:themeColor="accent5" w:themeShade="80"/>
              </w:rPr>
              <w:t>4.5</w:t>
            </w:r>
            <w:r w:rsidR="002F3907" w:rsidRPr="002F3907">
              <w:rPr>
                <w:rFonts w:asciiTheme="minorHAnsi" w:eastAsiaTheme="minorEastAsia" w:hAnsiTheme="minorHAnsi" w:cstheme="minorHAnsi"/>
                <w:noProof/>
                <w:color w:val="1F4E79" w:themeColor="accent5" w:themeShade="80"/>
                <w:lang w:val="pt-BR" w:eastAsia="pt-BR"/>
              </w:rPr>
              <w:tab/>
            </w:r>
            <w:r w:rsidR="002F3907" w:rsidRPr="002F3907">
              <w:rPr>
                <w:rStyle w:val="Hyperlink"/>
                <w:rFonts w:asciiTheme="minorHAnsi" w:hAnsiTheme="minorHAnsi" w:cstheme="minorHAnsi"/>
                <w:noProof/>
                <w:color w:val="1F4E79" w:themeColor="accent5" w:themeShade="80"/>
              </w:rPr>
              <w:t>Diretoria de Integridade (DINTEG)</w:t>
            </w:r>
            <w:r w:rsidR="002F3907" w:rsidRPr="002F3907">
              <w:rPr>
                <w:rFonts w:asciiTheme="minorHAnsi" w:hAnsiTheme="minorHAnsi" w:cstheme="minorHAnsi"/>
                <w:noProof/>
                <w:webHidden/>
                <w:color w:val="1F4E79" w:themeColor="accent5" w:themeShade="80"/>
              </w:rPr>
              <w:tab/>
            </w:r>
            <w:r w:rsidR="002F3907" w:rsidRPr="002F3907">
              <w:rPr>
                <w:rFonts w:asciiTheme="minorHAnsi" w:hAnsiTheme="minorHAnsi" w:cstheme="minorHAnsi"/>
                <w:noProof/>
                <w:webHidden/>
                <w:color w:val="1F4E79" w:themeColor="accent5" w:themeShade="80"/>
              </w:rPr>
              <w:fldChar w:fldCharType="begin"/>
            </w:r>
            <w:r w:rsidR="002F3907" w:rsidRPr="002F3907">
              <w:rPr>
                <w:rFonts w:asciiTheme="minorHAnsi" w:hAnsiTheme="minorHAnsi" w:cstheme="minorHAnsi"/>
                <w:noProof/>
                <w:webHidden/>
                <w:color w:val="1F4E79" w:themeColor="accent5" w:themeShade="80"/>
              </w:rPr>
              <w:instrText xml:space="preserve"> PAGEREF _Toc74468859 \h </w:instrText>
            </w:r>
            <w:r w:rsidR="002F3907" w:rsidRPr="002F3907">
              <w:rPr>
                <w:rFonts w:asciiTheme="minorHAnsi" w:hAnsiTheme="minorHAnsi" w:cstheme="minorHAnsi"/>
                <w:noProof/>
                <w:webHidden/>
                <w:color w:val="1F4E79" w:themeColor="accent5" w:themeShade="80"/>
              </w:rPr>
            </w:r>
            <w:r w:rsidR="002F3907" w:rsidRPr="002F3907">
              <w:rPr>
                <w:rFonts w:asciiTheme="minorHAnsi" w:hAnsiTheme="minorHAnsi" w:cstheme="minorHAnsi"/>
                <w:noProof/>
                <w:webHidden/>
                <w:color w:val="1F4E79" w:themeColor="accent5" w:themeShade="80"/>
              </w:rPr>
              <w:fldChar w:fldCharType="separate"/>
            </w:r>
            <w:r w:rsidR="002F3907" w:rsidRPr="002F3907">
              <w:rPr>
                <w:rFonts w:asciiTheme="minorHAnsi" w:hAnsiTheme="minorHAnsi" w:cstheme="minorHAnsi"/>
                <w:noProof/>
                <w:webHidden/>
                <w:color w:val="1F4E79" w:themeColor="accent5" w:themeShade="80"/>
              </w:rPr>
              <w:t>21</w:t>
            </w:r>
            <w:r w:rsidR="002F3907" w:rsidRPr="002F3907">
              <w:rPr>
                <w:rFonts w:asciiTheme="minorHAnsi" w:hAnsiTheme="minorHAnsi" w:cstheme="minorHAnsi"/>
                <w:noProof/>
                <w:webHidden/>
                <w:color w:val="1F4E79" w:themeColor="accent5" w:themeShade="80"/>
              </w:rPr>
              <w:fldChar w:fldCharType="end"/>
            </w:r>
          </w:hyperlink>
        </w:p>
        <w:p w14:paraId="30044BC2" w14:textId="204B4F1A" w:rsidR="002F3907" w:rsidRPr="002F3907" w:rsidRDefault="007E2F45">
          <w:pPr>
            <w:pStyle w:val="Sumrio1"/>
            <w:tabs>
              <w:tab w:val="left" w:pos="1760"/>
              <w:tab w:val="right" w:leader="dot" w:pos="9060"/>
            </w:tabs>
            <w:rPr>
              <w:rFonts w:asciiTheme="minorHAnsi" w:eastAsiaTheme="minorEastAsia" w:hAnsiTheme="minorHAnsi" w:cstheme="minorHAnsi"/>
              <w:noProof/>
              <w:color w:val="1F4E79" w:themeColor="accent5" w:themeShade="80"/>
              <w:lang w:val="pt-BR" w:eastAsia="pt-BR"/>
            </w:rPr>
          </w:pPr>
          <w:hyperlink w:anchor="_Toc74468860" w:history="1">
            <w:r w:rsidR="002F3907" w:rsidRPr="002F3907">
              <w:rPr>
                <w:rStyle w:val="Hyperlink"/>
                <w:rFonts w:asciiTheme="minorHAnsi" w:hAnsiTheme="minorHAnsi" w:cstheme="minorHAnsi"/>
                <w:noProof/>
                <w:color w:val="1F4E79" w:themeColor="accent5" w:themeShade="80"/>
              </w:rPr>
              <w:t>4.6</w:t>
            </w:r>
            <w:r w:rsidR="002F3907" w:rsidRPr="002F3907">
              <w:rPr>
                <w:rFonts w:asciiTheme="minorHAnsi" w:eastAsiaTheme="minorEastAsia" w:hAnsiTheme="minorHAnsi" w:cstheme="minorHAnsi"/>
                <w:noProof/>
                <w:color w:val="1F4E79" w:themeColor="accent5" w:themeShade="80"/>
                <w:lang w:val="pt-BR" w:eastAsia="pt-BR"/>
              </w:rPr>
              <w:tab/>
            </w:r>
            <w:r w:rsidR="002F3907" w:rsidRPr="002F3907">
              <w:rPr>
                <w:rStyle w:val="Hyperlink"/>
                <w:rFonts w:asciiTheme="minorHAnsi" w:hAnsiTheme="minorHAnsi" w:cstheme="minorHAnsi"/>
                <w:noProof/>
                <w:color w:val="1F4E79" w:themeColor="accent5" w:themeShade="80"/>
              </w:rPr>
              <w:t>Departamento Nacional de Audiroria do SUS (DENASUS)</w:t>
            </w:r>
            <w:r w:rsidR="002F3907" w:rsidRPr="002F3907">
              <w:rPr>
                <w:rFonts w:asciiTheme="minorHAnsi" w:hAnsiTheme="minorHAnsi" w:cstheme="minorHAnsi"/>
                <w:noProof/>
                <w:webHidden/>
                <w:color w:val="1F4E79" w:themeColor="accent5" w:themeShade="80"/>
              </w:rPr>
              <w:tab/>
            </w:r>
            <w:r w:rsidR="002F3907" w:rsidRPr="002F3907">
              <w:rPr>
                <w:rFonts w:asciiTheme="minorHAnsi" w:hAnsiTheme="minorHAnsi" w:cstheme="minorHAnsi"/>
                <w:noProof/>
                <w:webHidden/>
                <w:color w:val="1F4E79" w:themeColor="accent5" w:themeShade="80"/>
              </w:rPr>
              <w:fldChar w:fldCharType="begin"/>
            </w:r>
            <w:r w:rsidR="002F3907" w:rsidRPr="002F3907">
              <w:rPr>
                <w:rFonts w:asciiTheme="minorHAnsi" w:hAnsiTheme="minorHAnsi" w:cstheme="minorHAnsi"/>
                <w:noProof/>
                <w:webHidden/>
                <w:color w:val="1F4E79" w:themeColor="accent5" w:themeShade="80"/>
              </w:rPr>
              <w:instrText xml:space="preserve"> PAGEREF _Toc74468860 \h </w:instrText>
            </w:r>
            <w:r w:rsidR="002F3907" w:rsidRPr="002F3907">
              <w:rPr>
                <w:rFonts w:asciiTheme="minorHAnsi" w:hAnsiTheme="minorHAnsi" w:cstheme="minorHAnsi"/>
                <w:noProof/>
                <w:webHidden/>
                <w:color w:val="1F4E79" w:themeColor="accent5" w:themeShade="80"/>
              </w:rPr>
            </w:r>
            <w:r w:rsidR="002F3907" w:rsidRPr="002F3907">
              <w:rPr>
                <w:rFonts w:asciiTheme="minorHAnsi" w:hAnsiTheme="minorHAnsi" w:cstheme="minorHAnsi"/>
                <w:noProof/>
                <w:webHidden/>
                <w:color w:val="1F4E79" w:themeColor="accent5" w:themeShade="80"/>
              </w:rPr>
              <w:fldChar w:fldCharType="separate"/>
            </w:r>
            <w:r w:rsidR="002F3907" w:rsidRPr="002F3907">
              <w:rPr>
                <w:rFonts w:asciiTheme="minorHAnsi" w:hAnsiTheme="minorHAnsi" w:cstheme="minorHAnsi"/>
                <w:noProof/>
                <w:webHidden/>
                <w:color w:val="1F4E79" w:themeColor="accent5" w:themeShade="80"/>
              </w:rPr>
              <w:t>22</w:t>
            </w:r>
            <w:r w:rsidR="002F3907" w:rsidRPr="002F3907">
              <w:rPr>
                <w:rFonts w:asciiTheme="minorHAnsi" w:hAnsiTheme="minorHAnsi" w:cstheme="minorHAnsi"/>
                <w:noProof/>
                <w:webHidden/>
                <w:color w:val="1F4E79" w:themeColor="accent5" w:themeShade="80"/>
              </w:rPr>
              <w:fldChar w:fldCharType="end"/>
            </w:r>
          </w:hyperlink>
        </w:p>
        <w:p w14:paraId="2FDB2ACB" w14:textId="55CF2E2A" w:rsidR="002F3907" w:rsidRPr="002F3907" w:rsidRDefault="007E2F45">
          <w:pPr>
            <w:pStyle w:val="Sumrio1"/>
            <w:tabs>
              <w:tab w:val="left" w:pos="1540"/>
              <w:tab w:val="right" w:leader="dot" w:pos="9060"/>
            </w:tabs>
            <w:rPr>
              <w:rFonts w:asciiTheme="minorHAnsi" w:eastAsiaTheme="minorEastAsia" w:hAnsiTheme="minorHAnsi" w:cstheme="minorHAnsi"/>
              <w:noProof/>
              <w:color w:val="1F4E79" w:themeColor="accent5" w:themeShade="80"/>
              <w:lang w:val="pt-BR" w:eastAsia="pt-BR"/>
            </w:rPr>
          </w:pPr>
          <w:hyperlink w:anchor="_Toc74468861" w:history="1">
            <w:r w:rsidR="002F3907" w:rsidRPr="002F3907">
              <w:rPr>
                <w:rStyle w:val="Hyperlink"/>
                <w:rFonts w:asciiTheme="minorHAnsi" w:hAnsiTheme="minorHAnsi" w:cstheme="minorHAnsi"/>
                <w:b/>
                <w:bCs/>
                <w:noProof/>
                <w:color w:val="1F4E79" w:themeColor="accent5" w:themeShade="80"/>
              </w:rPr>
              <w:t>5.</w:t>
            </w:r>
            <w:r w:rsidR="002F3907" w:rsidRPr="002F3907">
              <w:rPr>
                <w:rFonts w:asciiTheme="minorHAnsi" w:eastAsiaTheme="minorEastAsia" w:hAnsiTheme="minorHAnsi" w:cstheme="minorHAnsi"/>
                <w:noProof/>
                <w:color w:val="1F4E79" w:themeColor="accent5" w:themeShade="80"/>
                <w:lang w:val="pt-BR" w:eastAsia="pt-BR"/>
              </w:rPr>
              <w:tab/>
            </w:r>
            <w:r w:rsidR="002F3907" w:rsidRPr="002F3907">
              <w:rPr>
                <w:rStyle w:val="Hyperlink"/>
                <w:rFonts w:asciiTheme="minorHAnsi" w:hAnsiTheme="minorHAnsi" w:cstheme="minorHAnsi"/>
                <w:b/>
                <w:bCs/>
                <w:noProof/>
                <w:color w:val="1F4E79" w:themeColor="accent5" w:themeShade="80"/>
              </w:rPr>
              <w:t>MÉTODO DE PRIORIZAÇÃO DE PROCESSOS (MPP)</w:t>
            </w:r>
            <w:r w:rsidR="002F3907" w:rsidRPr="002F3907">
              <w:rPr>
                <w:rFonts w:asciiTheme="minorHAnsi" w:hAnsiTheme="minorHAnsi" w:cstheme="minorHAnsi"/>
                <w:noProof/>
                <w:webHidden/>
                <w:color w:val="1F4E79" w:themeColor="accent5" w:themeShade="80"/>
              </w:rPr>
              <w:tab/>
            </w:r>
            <w:r w:rsidR="002F3907" w:rsidRPr="002F3907">
              <w:rPr>
                <w:rFonts w:asciiTheme="minorHAnsi" w:hAnsiTheme="minorHAnsi" w:cstheme="minorHAnsi"/>
                <w:noProof/>
                <w:webHidden/>
                <w:color w:val="1F4E79" w:themeColor="accent5" w:themeShade="80"/>
              </w:rPr>
              <w:fldChar w:fldCharType="begin"/>
            </w:r>
            <w:r w:rsidR="002F3907" w:rsidRPr="002F3907">
              <w:rPr>
                <w:rFonts w:asciiTheme="minorHAnsi" w:hAnsiTheme="minorHAnsi" w:cstheme="minorHAnsi"/>
                <w:noProof/>
                <w:webHidden/>
                <w:color w:val="1F4E79" w:themeColor="accent5" w:themeShade="80"/>
              </w:rPr>
              <w:instrText xml:space="preserve"> PAGEREF _Toc74468861 \h </w:instrText>
            </w:r>
            <w:r w:rsidR="002F3907" w:rsidRPr="002F3907">
              <w:rPr>
                <w:rFonts w:asciiTheme="minorHAnsi" w:hAnsiTheme="minorHAnsi" w:cstheme="minorHAnsi"/>
                <w:noProof/>
                <w:webHidden/>
                <w:color w:val="1F4E79" w:themeColor="accent5" w:themeShade="80"/>
              </w:rPr>
            </w:r>
            <w:r w:rsidR="002F3907" w:rsidRPr="002F3907">
              <w:rPr>
                <w:rFonts w:asciiTheme="minorHAnsi" w:hAnsiTheme="minorHAnsi" w:cstheme="minorHAnsi"/>
                <w:noProof/>
                <w:webHidden/>
                <w:color w:val="1F4E79" w:themeColor="accent5" w:themeShade="80"/>
              </w:rPr>
              <w:fldChar w:fldCharType="separate"/>
            </w:r>
            <w:r w:rsidR="002F3907" w:rsidRPr="002F3907">
              <w:rPr>
                <w:rFonts w:asciiTheme="minorHAnsi" w:hAnsiTheme="minorHAnsi" w:cstheme="minorHAnsi"/>
                <w:noProof/>
                <w:webHidden/>
                <w:color w:val="1F4E79" w:themeColor="accent5" w:themeShade="80"/>
              </w:rPr>
              <w:t>22</w:t>
            </w:r>
            <w:r w:rsidR="002F3907" w:rsidRPr="002F3907">
              <w:rPr>
                <w:rFonts w:asciiTheme="minorHAnsi" w:hAnsiTheme="minorHAnsi" w:cstheme="minorHAnsi"/>
                <w:noProof/>
                <w:webHidden/>
                <w:color w:val="1F4E79" w:themeColor="accent5" w:themeShade="80"/>
              </w:rPr>
              <w:fldChar w:fldCharType="end"/>
            </w:r>
          </w:hyperlink>
        </w:p>
        <w:p w14:paraId="06058082" w14:textId="0435C8F7" w:rsidR="002F3907" w:rsidRPr="002F3907" w:rsidRDefault="007E2F45">
          <w:pPr>
            <w:pStyle w:val="Sumrio1"/>
            <w:tabs>
              <w:tab w:val="left" w:pos="1540"/>
              <w:tab w:val="right" w:leader="dot" w:pos="9060"/>
            </w:tabs>
            <w:rPr>
              <w:rFonts w:asciiTheme="minorHAnsi" w:eastAsiaTheme="minorEastAsia" w:hAnsiTheme="minorHAnsi" w:cstheme="minorHAnsi"/>
              <w:noProof/>
              <w:color w:val="1F4E79" w:themeColor="accent5" w:themeShade="80"/>
              <w:lang w:val="pt-BR" w:eastAsia="pt-BR"/>
            </w:rPr>
          </w:pPr>
          <w:hyperlink w:anchor="_Toc74468862" w:history="1">
            <w:r w:rsidR="002F3907" w:rsidRPr="002F3907">
              <w:rPr>
                <w:rStyle w:val="Hyperlink"/>
                <w:rFonts w:asciiTheme="minorHAnsi" w:hAnsiTheme="minorHAnsi" w:cstheme="minorHAnsi"/>
                <w:b/>
                <w:bCs/>
                <w:noProof/>
                <w:color w:val="1F4E79" w:themeColor="accent5" w:themeShade="80"/>
              </w:rPr>
              <w:t>6.</w:t>
            </w:r>
            <w:r w:rsidR="002F3907" w:rsidRPr="002F3907">
              <w:rPr>
                <w:rFonts w:asciiTheme="minorHAnsi" w:eastAsiaTheme="minorEastAsia" w:hAnsiTheme="minorHAnsi" w:cstheme="minorHAnsi"/>
                <w:noProof/>
                <w:color w:val="1F4E79" w:themeColor="accent5" w:themeShade="80"/>
                <w:lang w:val="pt-BR" w:eastAsia="pt-BR"/>
              </w:rPr>
              <w:tab/>
            </w:r>
            <w:r w:rsidR="002F3907" w:rsidRPr="002F3907">
              <w:rPr>
                <w:rStyle w:val="Hyperlink"/>
                <w:rFonts w:asciiTheme="minorHAnsi" w:hAnsiTheme="minorHAnsi" w:cstheme="minorHAnsi"/>
                <w:b/>
                <w:bCs/>
                <w:noProof/>
                <w:color w:val="1F4E79" w:themeColor="accent5" w:themeShade="80"/>
              </w:rPr>
              <w:t>PLANO DE GESTÃO DE RISCOS</w:t>
            </w:r>
            <w:r w:rsidR="002F3907" w:rsidRPr="002F3907">
              <w:rPr>
                <w:rFonts w:asciiTheme="minorHAnsi" w:hAnsiTheme="minorHAnsi" w:cstheme="minorHAnsi"/>
                <w:noProof/>
                <w:webHidden/>
                <w:color w:val="1F4E79" w:themeColor="accent5" w:themeShade="80"/>
              </w:rPr>
              <w:tab/>
            </w:r>
            <w:r w:rsidR="002F3907" w:rsidRPr="002F3907">
              <w:rPr>
                <w:rFonts w:asciiTheme="minorHAnsi" w:hAnsiTheme="minorHAnsi" w:cstheme="minorHAnsi"/>
                <w:noProof/>
                <w:webHidden/>
                <w:color w:val="1F4E79" w:themeColor="accent5" w:themeShade="80"/>
              </w:rPr>
              <w:fldChar w:fldCharType="begin"/>
            </w:r>
            <w:r w:rsidR="002F3907" w:rsidRPr="002F3907">
              <w:rPr>
                <w:rFonts w:asciiTheme="minorHAnsi" w:hAnsiTheme="minorHAnsi" w:cstheme="minorHAnsi"/>
                <w:noProof/>
                <w:webHidden/>
                <w:color w:val="1F4E79" w:themeColor="accent5" w:themeShade="80"/>
              </w:rPr>
              <w:instrText xml:space="preserve"> PAGEREF _Toc74468862 \h </w:instrText>
            </w:r>
            <w:r w:rsidR="002F3907" w:rsidRPr="002F3907">
              <w:rPr>
                <w:rFonts w:asciiTheme="minorHAnsi" w:hAnsiTheme="minorHAnsi" w:cstheme="minorHAnsi"/>
                <w:noProof/>
                <w:webHidden/>
                <w:color w:val="1F4E79" w:themeColor="accent5" w:themeShade="80"/>
              </w:rPr>
            </w:r>
            <w:r w:rsidR="002F3907" w:rsidRPr="002F3907">
              <w:rPr>
                <w:rFonts w:asciiTheme="minorHAnsi" w:hAnsiTheme="minorHAnsi" w:cstheme="minorHAnsi"/>
                <w:noProof/>
                <w:webHidden/>
                <w:color w:val="1F4E79" w:themeColor="accent5" w:themeShade="80"/>
              </w:rPr>
              <w:fldChar w:fldCharType="separate"/>
            </w:r>
            <w:r w:rsidR="002F3907" w:rsidRPr="002F3907">
              <w:rPr>
                <w:rFonts w:asciiTheme="minorHAnsi" w:hAnsiTheme="minorHAnsi" w:cstheme="minorHAnsi"/>
                <w:noProof/>
                <w:webHidden/>
                <w:color w:val="1F4E79" w:themeColor="accent5" w:themeShade="80"/>
              </w:rPr>
              <w:t>23</w:t>
            </w:r>
            <w:r w:rsidR="002F3907" w:rsidRPr="002F3907">
              <w:rPr>
                <w:rFonts w:asciiTheme="minorHAnsi" w:hAnsiTheme="minorHAnsi" w:cstheme="minorHAnsi"/>
                <w:noProof/>
                <w:webHidden/>
                <w:color w:val="1F4E79" w:themeColor="accent5" w:themeShade="80"/>
              </w:rPr>
              <w:fldChar w:fldCharType="end"/>
            </w:r>
          </w:hyperlink>
        </w:p>
        <w:p w14:paraId="1C1FB363" w14:textId="768647C6" w:rsidR="002F3907" w:rsidRPr="002F3907" w:rsidRDefault="007E2F45">
          <w:pPr>
            <w:pStyle w:val="Sumrio1"/>
            <w:tabs>
              <w:tab w:val="left" w:pos="1540"/>
              <w:tab w:val="right" w:leader="dot" w:pos="9060"/>
            </w:tabs>
            <w:rPr>
              <w:rFonts w:asciiTheme="minorHAnsi" w:eastAsiaTheme="minorEastAsia" w:hAnsiTheme="minorHAnsi" w:cstheme="minorHAnsi"/>
              <w:noProof/>
              <w:color w:val="1F4E79" w:themeColor="accent5" w:themeShade="80"/>
              <w:lang w:val="pt-BR" w:eastAsia="pt-BR"/>
            </w:rPr>
          </w:pPr>
          <w:hyperlink w:anchor="_Toc74468863" w:history="1">
            <w:r w:rsidR="002F3907" w:rsidRPr="002F3907">
              <w:rPr>
                <w:rStyle w:val="Hyperlink"/>
                <w:rFonts w:asciiTheme="minorHAnsi" w:hAnsiTheme="minorHAnsi" w:cstheme="minorHAnsi"/>
                <w:b/>
                <w:bCs/>
                <w:noProof/>
                <w:color w:val="1F4E79" w:themeColor="accent5" w:themeShade="80"/>
              </w:rPr>
              <w:t>7.</w:t>
            </w:r>
            <w:r w:rsidR="002F3907" w:rsidRPr="002F3907">
              <w:rPr>
                <w:rFonts w:asciiTheme="minorHAnsi" w:eastAsiaTheme="minorEastAsia" w:hAnsiTheme="minorHAnsi" w:cstheme="minorHAnsi"/>
                <w:noProof/>
                <w:color w:val="1F4E79" w:themeColor="accent5" w:themeShade="80"/>
                <w:lang w:val="pt-BR" w:eastAsia="pt-BR"/>
              </w:rPr>
              <w:tab/>
            </w:r>
            <w:r w:rsidR="002F3907" w:rsidRPr="002F3907">
              <w:rPr>
                <w:rStyle w:val="Hyperlink"/>
                <w:rFonts w:asciiTheme="minorHAnsi" w:hAnsiTheme="minorHAnsi" w:cstheme="minorHAnsi"/>
                <w:b/>
                <w:bCs/>
                <w:noProof/>
                <w:color w:val="1F4E79" w:themeColor="accent5" w:themeShade="80"/>
              </w:rPr>
              <w:t>PROCESSO DE GERENCIAMENTO DE RISCOS</w:t>
            </w:r>
            <w:r w:rsidR="002F3907" w:rsidRPr="002F3907">
              <w:rPr>
                <w:rFonts w:asciiTheme="minorHAnsi" w:hAnsiTheme="minorHAnsi" w:cstheme="minorHAnsi"/>
                <w:noProof/>
                <w:webHidden/>
                <w:color w:val="1F4E79" w:themeColor="accent5" w:themeShade="80"/>
              </w:rPr>
              <w:tab/>
            </w:r>
            <w:r w:rsidR="002F3907" w:rsidRPr="002F3907">
              <w:rPr>
                <w:rFonts w:asciiTheme="minorHAnsi" w:hAnsiTheme="minorHAnsi" w:cstheme="minorHAnsi"/>
                <w:noProof/>
                <w:webHidden/>
                <w:color w:val="1F4E79" w:themeColor="accent5" w:themeShade="80"/>
              </w:rPr>
              <w:fldChar w:fldCharType="begin"/>
            </w:r>
            <w:r w:rsidR="002F3907" w:rsidRPr="002F3907">
              <w:rPr>
                <w:rFonts w:asciiTheme="minorHAnsi" w:hAnsiTheme="minorHAnsi" w:cstheme="minorHAnsi"/>
                <w:noProof/>
                <w:webHidden/>
                <w:color w:val="1F4E79" w:themeColor="accent5" w:themeShade="80"/>
              </w:rPr>
              <w:instrText xml:space="preserve"> PAGEREF _Toc74468863 \h </w:instrText>
            </w:r>
            <w:r w:rsidR="002F3907" w:rsidRPr="002F3907">
              <w:rPr>
                <w:rFonts w:asciiTheme="minorHAnsi" w:hAnsiTheme="minorHAnsi" w:cstheme="minorHAnsi"/>
                <w:noProof/>
                <w:webHidden/>
                <w:color w:val="1F4E79" w:themeColor="accent5" w:themeShade="80"/>
              </w:rPr>
            </w:r>
            <w:r w:rsidR="002F3907" w:rsidRPr="002F3907">
              <w:rPr>
                <w:rFonts w:asciiTheme="minorHAnsi" w:hAnsiTheme="minorHAnsi" w:cstheme="minorHAnsi"/>
                <w:noProof/>
                <w:webHidden/>
                <w:color w:val="1F4E79" w:themeColor="accent5" w:themeShade="80"/>
              </w:rPr>
              <w:fldChar w:fldCharType="separate"/>
            </w:r>
            <w:r w:rsidR="002F3907" w:rsidRPr="002F3907">
              <w:rPr>
                <w:rFonts w:asciiTheme="minorHAnsi" w:hAnsiTheme="minorHAnsi" w:cstheme="minorHAnsi"/>
                <w:noProof/>
                <w:webHidden/>
                <w:color w:val="1F4E79" w:themeColor="accent5" w:themeShade="80"/>
              </w:rPr>
              <w:t>24</w:t>
            </w:r>
            <w:r w:rsidR="002F3907" w:rsidRPr="002F3907">
              <w:rPr>
                <w:rFonts w:asciiTheme="minorHAnsi" w:hAnsiTheme="minorHAnsi" w:cstheme="minorHAnsi"/>
                <w:noProof/>
                <w:webHidden/>
                <w:color w:val="1F4E79" w:themeColor="accent5" w:themeShade="80"/>
              </w:rPr>
              <w:fldChar w:fldCharType="end"/>
            </w:r>
          </w:hyperlink>
        </w:p>
        <w:p w14:paraId="0731A8FC" w14:textId="173238FE" w:rsidR="002F3907" w:rsidRPr="002F3907" w:rsidRDefault="007E2F45">
          <w:pPr>
            <w:pStyle w:val="Sumrio1"/>
            <w:tabs>
              <w:tab w:val="left" w:pos="1760"/>
              <w:tab w:val="right" w:leader="dot" w:pos="9060"/>
            </w:tabs>
            <w:rPr>
              <w:rFonts w:asciiTheme="minorHAnsi" w:eastAsiaTheme="minorEastAsia" w:hAnsiTheme="minorHAnsi" w:cstheme="minorHAnsi"/>
              <w:noProof/>
              <w:color w:val="1F4E79" w:themeColor="accent5" w:themeShade="80"/>
              <w:lang w:val="pt-BR" w:eastAsia="pt-BR"/>
            </w:rPr>
          </w:pPr>
          <w:hyperlink w:anchor="_Toc74468864" w:history="1">
            <w:r w:rsidR="002F3907" w:rsidRPr="002F3907">
              <w:rPr>
                <w:rStyle w:val="Hyperlink"/>
                <w:rFonts w:asciiTheme="minorHAnsi" w:hAnsiTheme="minorHAnsi" w:cstheme="minorHAnsi"/>
                <w:noProof/>
                <w:color w:val="1F4E79" w:themeColor="accent5" w:themeShade="80"/>
              </w:rPr>
              <w:t>7.1</w:t>
            </w:r>
            <w:r w:rsidR="002F3907" w:rsidRPr="002F3907">
              <w:rPr>
                <w:rFonts w:asciiTheme="minorHAnsi" w:eastAsiaTheme="minorEastAsia" w:hAnsiTheme="minorHAnsi" w:cstheme="minorHAnsi"/>
                <w:noProof/>
                <w:color w:val="1F4E79" w:themeColor="accent5" w:themeShade="80"/>
                <w:lang w:val="pt-BR" w:eastAsia="pt-BR"/>
              </w:rPr>
              <w:tab/>
            </w:r>
            <w:r w:rsidR="002F3907" w:rsidRPr="002F3907">
              <w:rPr>
                <w:rStyle w:val="Hyperlink"/>
                <w:rFonts w:asciiTheme="minorHAnsi" w:hAnsiTheme="minorHAnsi" w:cstheme="minorHAnsi"/>
                <w:noProof/>
                <w:color w:val="1F4E79" w:themeColor="accent5" w:themeShade="80"/>
              </w:rPr>
              <w:t>Entendimento do Contexto</w:t>
            </w:r>
            <w:r w:rsidR="002F3907" w:rsidRPr="002F3907">
              <w:rPr>
                <w:rFonts w:asciiTheme="minorHAnsi" w:hAnsiTheme="minorHAnsi" w:cstheme="minorHAnsi"/>
                <w:noProof/>
                <w:webHidden/>
                <w:color w:val="1F4E79" w:themeColor="accent5" w:themeShade="80"/>
              </w:rPr>
              <w:tab/>
            </w:r>
            <w:r w:rsidR="002F3907" w:rsidRPr="002F3907">
              <w:rPr>
                <w:rFonts w:asciiTheme="minorHAnsi" w:hAnsiTheme="minorHAnsi" w:cstheme="minorHAnsi"/>
                <w:noProof/>
                <w:webHidden/>
                <w:color w:val="1F4E79" w:themeColor="accent5" w:themeShade="80"/>
              </w:rPr>
              <w:fldChar w:fldCharType="begin"/>
            </w:r>
            <w:r w:rsidR="002F3907" w:rsidRPr="002F3907">
              <w:rPr>
                <w:rFonts w:asciiTheme="minorHAnsi" w:hAnsiTheme="minorHAnsi" w:cstheme="minorHAnsi"/>
                <w:noProof/>
                <w:webHidden/>
                <w:color w:val="1F4E79" w:themeColor="accent5" w:themeShade="80"/>
              </w:rPr>
              <w:instrText xml:space="preserve"> PAGEREF _Toc74468864 \h </w:instrText>
            </w:r>
            <w:r w:rsidR="002F3907" w:rsidRPr="002F3907">
              <w:rPr>
                <w:rFonts w:asciiTheme="minorHAnsi" w:hAnsiTheme="minorHAnsi" w:cstheme="minorHAnsi"/>
                <w:noProof/>
                <w:webHidden/>
                <w:color w:val="1F4E79" w:themeColor="accent5" w:themeShade="80"/>
              </w:rPr>
            </w:r>
            <w:r w:rsidR="002F3907" w:rsidRPr="002F3907">
              <w:rPr>
                <w:rFonts w:asciiTheme="minorHAnsi" w:hAnsiTheme="minorHAnsi" w:cstheme="minorHAnsi"/>
                <w:noProof/>
                <w:webHidden/>
                <w:color w:val="1F4E79" w:themeColor="accent5" w:themeShade="80"/>
              </w:rPr>
              <w:fldChar w:fldCharType="separate"/>
            </w:r>
            <w:r w:rsidR="002F3907" w:rsidRPr="002F3907">
              <w:rPr>
                <w:rFonts w:asciiTheme="minorHAnsi" w:hAnsiTheme="minorHAnsi" w:cstheme="minorHAnsi"/>
                <w:noProof/>
                <w:webHidden/>
                <w:color w:val="1F4E79" w:themeColor="accent5" w:themeShade="80"/>
              </w:rPr>
              <w:t>25</w:t>
            </w:r>
            <w:r w:rsidR="002F3907" w:rsidRPr="002F3907">
              <w:rPr>
                <w:rFonts w:asciiTheme="minorHAnsi" w:hAnsiTheme="minorHAnsi" w:cstheme="minorHAnsi"/>
                <w:noProof/>
                <w:webHidden/>
                <w:color w:val="1F4E79" w:themeColor="accent5" w:themeShade="80"/>
              </w:rPr>
              <w:fldChar w:fldCharType="end"/>
            </w:r>
          </w:hyperlink>
        </w:p>
        <w:p w14:paraId="172C765F" w14:textId="14E33764" w:rsidR="002F3907" w:rsidRPr="002F3907" w:rsidRDefault="007E2F45">
          <w:pPr>
            <w:pStyle w:val="Sumrio1"/>
            <w:tabs>
              <w:tab w:val="left" w:pos="1760"/>
              <w:tab w:val="right" w:leader="dot" w:pos="9060"/>
            </w:tabs>
            <w:rPr>
              <w:rFonts w:asciiTheme="minorHAnsi" w:eastAsiaTheme="minorEastAsia" w:hAnsiTheme="minorHAnsi" w:cstheme="minorHAnsi"/>
              <w:noProof/>
              <w:color w:val="1F4E79" w:themeColor="accent5" w:themeShade="80"/>
              <w:lang w:val="pt-BR" w:eastAsia="pt-BR"/>
            </w:rPr>
          </w:pPr>
          <w:hyperlink w:anchor="_Toc74468865" w:history="1">
            <w:r w:rsidR="002F3907" w:rsidRPr="002F3907">
              <w:rPr>
                <w:rStyle w:val="Hyperlink"/>
                <w:rFonts w:asciiTheme="minorHAnsi" w:hAnsiTheme="minorHAnsi" w:cstheme="minorHAnsi"/>
                <w:noProof/>
                <w:color w:val="1F4E79" w:themeColor="accent5" w:themeShade="80"/>
              </w:rPr>
              <w:t>7.2</w:t>
            </w:r>
            <w:r w:rsidR="002F3907" w:rsidRPr="002F3907">
              <w:rPr>
                <w:rFonts w:asciiTheme="minorHAnsi" w:eastAsiaTheme="minorEastAsia" w:hAnsiTheme="minorHAnsi" w:cstheme="minorHAnsi"/>
                <w:noProof/>
                <w:color w:val="1F4E79" w:themeColor="accent5" w:themeShade="80"/>
                <w:lang w:val="pt-BR" w:eastAsia="pt-BR"/>
              </w:rPr>
              <w:tab/>
            </w:r>
            <w:r w:rsidR="002F3907" w:rsidRPr="002F3907">
              <w:rPr>
                <w:rStyle w:val="Hyperlink"/>
                <w:rFonts w:asciiTheme="minorHAnsi" w:hAnsiTheme="minorHAnsi" w:cstheme="minorHAnsi"/>
                <w:noProof/>
                <w:color w:val="1F4E79" w:themeColor="accent5" w:themeShade="80"/>
              </w:rPr>
              <w:t>Identificação, Análise e Avaliação dos Riscos</w:t>
            </w:r>
            <w:r w:rsidR="002F3907" w:rsidRPr="002F3907">
              <w:rPr>
                <w:rFonts w:asciiTheme="minorHAnsi" w:hAnsiTheme="minorHAnsi" w:cstheme="minorHAnsi"/>
                <w:noProof/>
                <w:webHidden/>
                <w:color w:val="1F4E79" w:themeColor="accent5" w:themeShade="80"/>
              </w:rPr>
              <w:tab/>
            </w:r>
            <w:r w:rsidR="002F3907" w:rsidRPr="002F3907">
              <w:rPr>
                <w:rFonts w:asciiTheme="minorHAnsi" w:hAnsiTheme="minorHAnsi" w:cstheme="minorHAnsi"/>
                <w:noProof/>
                <w:webHidden/>
                <w:color w:val="1F4E79" w:themeColor="accent5" w:themeShade="80"/>
              </w:rPr>
              <w:fldChar w:fldCharType="begin"/>
            </w:r>
            <w:r w:rsidR="002F3907" w:rsidRPr="002F3907">
              <w:rPr>
                <w:rFonts w:asciiTheme="minorHAnsi" w:hAnsiTheme="minorHAnsi" w:cstheme="minorHAnsi"/>
                <w:noProof/>
                <w:webHidden/>
                <w:color w:val="1F4E79" w:themeColor="accent5" w:themeShade="80"/>
              </w:rPr>
              <w:instrText xml:space="preserve"> PAGEREF _Toc74468865 \h </w:instrText>
            </w:r>
            <w:r w:rsidR="002F3907" w:rsidRPr="002F3907">
              <w:rPr>
                <w:rFonts w:asciiTheme="minorHAnsi" w:hAnsiTheme="minorHAnsi" w:cstheme="minorHAnsi"/>
                <w:noProof/>
                <w:webHidden/>
                <w:color w:val="1F4E79" w:themeColor="accent5" w:themeShade="80"/>
              </w:rPr>
            </w:r>
            <w:r w:rsidR="002F3907" w:rsidRPr="002F3907">
              <w:rPr>
                <w:rFonts w:asciiTheme="minorHAnsi" w:hAnsiTheme="minorHAnsi" w:cstheme="minorHAnsi"/>
                <w:noProof/>
                <w:webHidden/>
                <w:color w:val="1F4E79" w:themeColor="accent5" w:themeShade="80"/>
              </w:rPr>
              <w:fldChar w:fldCharType="separate"/>
            </w:r>
            <w:r w:rsidR="002F3907" w:rsidRPr="002F3907">
              <w:rPr>
                <w:rFonts w:asciiTheme="minorHAnsi" w:hAnsiTheme="minorHAnsi" w:cstheme="minorHAnsi"/>
                <w:noProof/>
                <w:webHidden/>
                <w:color w:val="1F4E79" w:themeColor="accent5" w:themeShade="80"/>
              </w:rPr>
              <w:t>26</w:t>
            </w:r>
            <w:r w:rsidR="002F3907" w:rsidRPr="002F3907">
              <w:rPr>
                <w:rFonts w:asciiTheme="minorHAnsi" w:hAnsiTheme="minorHAnsi" w:cstheme="minorHAnsi"/>
                <w:noProof/>
                <w:webHidden/>
                <w:color w:val="1F4E79" w:themeColor="accent5" w:themeShade="80"/>
              </w:rPr>
              <w:fldChar w:fldCharType="end"/>
            </w:r>
          </w:hyperlink>
        </w:p>
        <w:p w14:paraId="1FC5D9CA" w14:textId="4E28F156" w:rsidR="002F3907" w:rsidRPr="002F3907" w:rsidRDefault="007E2F45">
          <w:pPr>
            <w:pStyle w:val="Sumrio1"/>
            <w:tabs>
              <w:tab w:val="left" w:pos="1760"/>
              <w:tab w:val="right" w:leader="dot" w:pos="9060"/>
            </w:tabs>
            <w:rPr>
              <w:rFonts w:asciiTheme="minorHAnsi" w:eastAsiaTheme="minorEastAsia" w:hAnsiTheme="minorHAnsi" w:cstheme="minorHAnsi"/>
              <w:noProof/>
              <w:color w:val="1F4E79" w:themeColor="accent5" w:themeShade="80"/>
              <w:lang w:val="pt-BR" w:eastAsia="pt-BR"/>
            </w:rPr>
          </w:pPr>
          <w:hyperlink w:anchor="_Toc74468866" w:history="1">
            <w:r w:rsidR="002F3907" w:rsidRPr="002F3907">
              <w:rPr>
                <w:rStyle w:val="Hyperlink"/>
                <w:rFonts w:asciiTheme="minorHAnsi" w:hAnsiTheme="minorHAnsi" w:cstheme="minorHAnsi"/>
                <w:noProof/>
                <w:color w:val="1F4E79" w:themeColor="accent5" w:themeShade="80"/>
              </w:rPr>
              <w:t>7.3</w:t>
            </w:r>
            <w:r w:rsidR="002F3907" w:rsidRPr="002F3907">
              <w:rPr>
                <w:rFonts w:asciiTheme="minorHAnsi" w:eastAsiaTheme="minorEastAsia" w:hAnsiTheme="minorHAnsi" w:cstheme="minorHAnsi"/>
                <w:noProof/>
                <w:color w:val="1F4E79" w:themeColor="accent5" w:themeShade="80"/>
                <w:lang w:val="pt-BR" w:eastAsia="pt-BR"/>
              </w:rPr>
              <w:tab/>
            </w:r>
            <w:r w:rsidR="002F3907" w:rsidRPr="002F3907">
              <w:rPr>
                <w:rStyle w:val="Hyperlink"/>
                <w:rFonts w:asciiTheme="minorHAnsi" w:hAnsiTheme="minorHAnsi" w:cstheme="minorHAnsi"/>
                <w:noProof/>
                <w:color w:val="1F4E79" w:themeColor="accent5" w:themeShade="80"/>
              </w:rPr>
              <w:t>Resposta aos Riscos</w:t>
            </w:r>
            <w:r w:rsidR="002F3907" w:rsidRPr="002F3907">
              <w:rPr>
                <w:rFonts w:asciiTheme="minorHAnsi" w:hAnsiTheme="minorHAnsi" w:cstheme="minorHAnsi"/>
                <w:noProof/>
                <w:webHidden/>
                <w:color w:val="1F4E79" w:themeColor="accent5" w:themeShade="80"/>
              </w:rPr>
              <w:tab/>
            </w:r>
            <w:r w:rsidR="002F3907" w:rsidRPr="002F3907">
              <w:rPr>
                <w:rFonts w:asciiTheme="minorHAnsi" w:hAnsiTheme="minorHAnsi" w:cstheme="minorHAnsi"/>
                <w:noProof/>
                <w:webHidden/>
                <w:color w:val="1F4E79" w:themeColor="accent5" w:themeShade="80"/>
              </w:rPr>
              <w:fldChar w:fldCharType="begin"/>
            </w:r>
            <w:r w:rsidR="002F3907" w:rsidRPr="002F3907">
              <w:rPr>
                <w:rFonts w:asciiTheme="minorHAnsi" w:hAnsiTheme="minorHAnsi" w:cstheme="minorHAnsi"/>
                <w:noProof/>
                <w:webHidden/>
                <w:color w:val="1F4E79" w:themeColor="accent5" w:themeShade="80"/>
              </w:rPr>
              <w:instrText xml:space="preserve"> PAGEREF _Toc74468866 \h </w:instrText>
            </w:r>
            <w:r w:rsidR="002F3907" w:rsidRPr="002F3907">
              <w:rPr>
                <w:rFonts w:asciiTheme="minorHAnsi" w:hAnsiTheme="minorHAnsi" w:cstheme="minorHAnsi"/>
                <w:noProof/>
                <w:webHidden/>
                <w:color w:val="1F4E79" w:themeColor="accent5" w:themeShade="80"/>
              </w:rPr>
            </w:r>
            <w:r w:rsidR="002F3907" w:rsidRPr="002F3907">
              <w:rPr>
                <w:rFonts w:asciiTheme="minorHAnsi" w:hAnsiTheme="minorHAnsi" w:cstheme="minorHAnsi"/>
                <w:noProof/>
                <w:webHidden/>
                <w:color w:val="1F4E79" w:themeColor="accent5" w:themeShade="80"/>
              </w:rPr>
              <w:fldChar w:fldCharType="separate"/>
            </w:r>
            <w:r w:rsidR="002F3907" w:rsidRPr="002F3907">
              <w:rPr>
                <w:rFonts w:asciiTheme="minorHAnsi" w:hAnsiTheme="minorHAnsi" w:cstheme="minorHAnsi"/>
                <w:noProof/>
                <w:webHidden/>
                <w:color w:val="1F4E79" w:themeColor="accent5" w:themeShade="80"/>
              </w:rPr>
              <w:t>30</w:t>
            </w:r>
            <w:r w:rsidR="002F3907" w:rsidRPr="002F3907">
              <w:rPr>
                <w:rFonts w:asciiTheme="minorHAnsi" w:hAnsiTheme="minorHAnsi" w:cstheme="minorHAnsi"/>
                <w:noProof/>
                <w:webHidden/>
                <w:color w:val="1F4E79" w:themeColor="accent5" w:themeShade="80"/>
              </w:rPr>
              <w:fldChar w:fldCharType="end"/>
            </w:r>
          </w:hyperlink>
        </w:p>
        <w:p w14:paraId="0440F038" w14:textId="1A359752" w:rsidR="002F3907" w:rsidRPr="002F3907" w:rsidRDefault="007E2F45">
          <w:pPr>
            <w:pStyle w:val="Sumrio1"/>
            <w:tabs>
              <w:tab w:val="left" w:pos="1760"/>
              <w:tab w:val="right" w:leader="dot" w:pos="9060"/>
            </w:tabs>
            <w:rPr>
              <w:rFonts w:asciiTheme="minorHAnsi" w:eastAsiaTheme="minorEastAsia" w:hAnsiTheme="minorHAnsi" w:cstheme="minorHAnsi"/>
              <w:noProof/>
              <w:color w:val="1F4E79" w:themeColor="accent5" w:themeShade="80"/>
              <w:lang w:val="pt-BR" w:eastAsia="pt-BR"/>
            </w:rPr>
          </w:pPr>
          <w:hyperlink w:anchor="_Toc74468867" w:history="1">
            <w:r w:rsidR="002F3907" w:rsidRPr="002F3907">
              <w:rPr>
                <w:rStyle w:val="Hyperlink"/>
                <w:rFonts w:asciiTheme="minorHAnsi" w:hAnsiTheme="minorHAnsi" w:cstheme="minorHAnsi"/>
                <w:noProof/>
                <w:color w:val="1F4E79" w:themeColor="accent5" w:themeShade="80"/>
              </w:rPr>
              <w:t>7.4</w:t>
            </w:r>
            <w:r w:rsidR="002F3907" w:rsidRPr="002F3907">
              <w:rPr>
                <w:rFonts w:asciiTheme="minorHAnsi" w:eastAsiaTheme="minorEastAsia" w:hAnsiTheme="minorHAnsi" w:cstheme="minorHAnsi"/>
                <w:noProof/>
                <w:color w:val="1F4E79" w:themeColor="accent5" w:themeShade="80"/>
                <w:lang w:val="pt-BR" w:eastAsia="pt-BR"/>
              </w:rPr>
              <w:tab/>
            </w:r>
            <w:r w:rsidR="002F3907" w:rsidRPr="002F3907">
              <w:rPr>
                <w:rStyle w:val="Hyperlink"/>
                <w:rFonts w:asciiTheme="minorHAnsi" w:hAnsiTheme="minorHAnsi" w:cstheme="minorHAnsi"/>
                <w:noProof/>
                <w:color w:val="1F4E79" w:themeColor="accent5" w:themeShade="80"/>
              </w:rPr>
              <w:t>Monitoramento e Análise Crítica</w:t>
            </w:r>
            <w:r w:rsidR="002F3907" w:rsidRPr="002F3907">
              <w:rPr>
                <w:rFonts w:asciiTheme="minorHAnsi" w:hAnsiTheme="minorHAnsi" w:cstheme="minorHAnsi"/>
                <w:noProof/>
                <w:webHidden/>
                <w:color w:val="1F4E79" w:themeColor="accent5" w:themeShade="80"/>
              </w:rPr>
              <w:tab/>
            </w:r>
            <w:r w:rsidR="002F3907" w:rsidRPr="002F3907">
              <w:rPr>
                <w:rFonts w:asciiTheme="minorHAnsi" w:hAnsiTheme="minorHAnsi" w:cstheme="minorHAnsi"/>
                <w:noProof/>
                <w:webHidden/>
                <w:color w:val="1F4E79" w:themeColor="accent5" w:themeShade="80"/>
              </w:rPr>
              <w:fldChar w:fldCharType="begin"/>
            </w:r>
            <w:r w:rsidR="002F3907" w:rsidRPr="002F3907">
              <w:rPr>
                <w:rFonts w:asciiTheme="minorHAnsi" w:hAnsiTheme="minorHAnsi" w:cstheme="minorHAnsi"/>
                <w:noProof/>
                <w:webHidden/>
                <w:color w:val="1F4E79" w:themeColor="accent5" w:themeShade="80"/>
              </w:rPr>
              <w:instrText xml:space="preserve"> PAGEREF _Toc74468867 \h </w:instrText>
            </w:r>
            <w:r w:rsidR="002F3907" w:rsidRPr="002F3907">
              <w:rPr>
                <w:rFonts w:asciiTheme="minorHAnsi" w:hAnsiTheme="minorHAnsi" w:cstheme="minorHAnsi"/>
                <w:noProof/>
                <w:webHidden/>
                <w:color w:val="1F4E79" w:themeColor="accent5" w:themeShade="80"/>
              </w:rPr>
            </w:r>
            <w:r w:rsidR="002F3907" w:rsidRPr="002F3907">
              <w:rPr>
                <w:rFonts w:asciiTheme="minorHAnsi" w:hAnsiTheme="minorHAnsi" w:cstheme="minorHAnsi"/>
                <w:noProof/>
                <w:webHidden/>
                <w:color w:val="1F4E79" w:themeColor="accent5" w:themeShade="80"/>
              </w:rPr>
              <w:fldChar w:fldCharType="separate"/>
            </w:r>
            <w:r w:rsidR="002F3907" w:rsidRPr="002F3907">
              <w:rPr>
                <w:rFonts w:asciiTheme="minorHAnsi" w:hAnsiTheme="minorHAnsi" w:cstheme="minorHAnsi"/>
                <w:noProof/>
                <w:webHidden/>
                <w:color w:val="1F4E79" w:themeColor="accent5" w:themeShade="80"/>
              </w:rPr>
              <w:t>31</w:t>
            </w:r>
            <w:r w:rsidR="002F3907" w:rsidRPr="002F3907">
              <w:rPr>
                <w:rFonts w:asciiTheme="minorHAnsi" w:hAnsiTheme="minorHAnsi" w:cstheme="minorHAnsi"/>
                <w:noProof/>
                <w:webHidden/>
                <w:color w:val="1F4E79" w:themeColor="accent5" w:themeShade="80"/>
              </w:rPr>
              <w:fldChar w:fldCharType="end"/>
            </w:r>
          </w:hyperlink>
        </w:p>
        <w:p w14:paraId="4A4C374C" w14:textId="57487F8A" w:rsidR="002F3907" w:rsidRPr="002F3907" w:rsidRDefault="007E2F45">
          <w:pPr>
            <w:pStyle w:val="Sumrio1"/>
            <w:tabs>
              <w:tab w:val="left" w:pos="1760"/>
              <w:tab w:val="right" w:leader="dot" w:pos="9060"/>
            </w:tabs>
            <w:rPr>
              <w:rFonts w:asciiTheme="minorHAnsi" w:eastAsiaTheme="minorEastAsia" w:hAnsiTheme="minorHAnsi" w:cstheme="minorHAnsi"/>
              <w:noProof/>
              <w:color w:val="1F4E79" w:themeColor="accent5" w:themeShade="80"/>
              <w:lang w:val="pt-BR" w:eastAsia="pt-BR"/>
            </w:rPr>
          </w:pPr>
          <w:hyperlink w:anchor="_Toc74468868" w:history="1">
            <w:r w:rsidR="002F3907" w:rsidRPr="002F3907">
              <w:rPr>
                <w:rStyle w:val="Hyperlink"/>
                <w:rFonts w:asciiTheme="minorHAnsi" w:hAnsiTheme="minorHAnsi" w:cstheme="minorHAnsi"/>
                <w:noProof/>
                <w:color w:val="1F4E79" w:themeColor="accent5" w:themeShade="80"/>
              </w:rPr>
              <w:t>7.5</w:t>
            </w:r>
            <w:r w:rsidR="002F3907" w:rsidRPr="002F3907">
              <w:rPr>
                <w:rFonts w:asciiTheme="minorHAnsi" w:eastAsiaTheme="minorEastAsia" w:hAnsiTheme="minorHAnsi" w:cstheme="minorHAnsi"/>
                <w:noProof/>
                <w:color w:val="1F4E79" w:themeColor="accent5" w:themeShade="80"/>
                <w:lang w:val="pt-BR" w:eastAsia="pt-BR"/>
              </w:rPr>
              <w:tab/>
            </w:r>
            <w:r w:rsidR="002F3907" w:rsidRPr="002F3907">
              <w:rPr>
                <w:rStyle w:val="Hyperlink"/>
                <w:rFonts w:asciiTheme="minorHAnsi" w:hAnsiTheme="minorHAnsi" w:cstheme="minorHAnsi"/>
                <w:noProof/>
                <w:color w:val="1F4E79" w:themeColor="accent5" w:themeShade="80"/>
              </w:rPr>
              <w:t>Relato e Comunicação</w:t>
            </w:r>
            <w:r w:rsidR="002F3907" w:rsidRPr="002F3907">
              <w:rPr>
                <w:rFonts w:asciiTheme="minorHAnsi" w:hAnsiTheme="minorHAnsi" w:cstheme="minorHAnsi"/>
                <w:noProof/>
                <w:webHidden/>
                <w:color w:val="1F4E79" w:themeColor="accent5" w:themeShade="80"/>
              </w:rPr>
              <w:tab/>
            </w:r>
            <w:r w:rsidR="002F3907" w:rsidRPr="002F3907">
              <w:rPr>
                <w:rFonts w:asciiTheme="minorHAnsi" w:hAnsiTheme="minorHAnsi" w:cstheme="minorHAnsi"/>
                <w:noProof/>
                <w:webHidden/>
                <w:color w:val="1F4E79" w:themeColor="accent5" w:themeShade="80"/>
              </w:rPr>
              <w:fldChar w:fldCharType="begin"/>
            </w:r>
            <w:r w:rsidR="002F3907" w:rsidRPr="002F3907">
              <w:rPr>
                <w:rFonts w:asciiTheme="minorHAnsi" w:hAnsiTheme="minorHAnsi" w:cstheme="minorHAnsi"/>
                <w:noProof/>
                <w:webHidden/>
                <w:color w:val="1F4E79" w:themeColor="accent5" w:themeShade="80"/>
              </w:rPr>
              <w:instrText xml:space="preserve"> PAGEREF _Toc74468868 \h </w:instrText>
            </w:r>
            <w:r w:rsidR="002F3907" w:rsidRPr="002F3907">
              <w:rPr>
                <w:rFonts w:asciiTheme="minorHAnsi" w:hAnsiTheme="minorHAnsi" w:cstheme="minorHAnsi"/>
                <w:noProof/>
                <w:webHidden/>
                <w:color w:val="1F4E79" w:themeColor="accent5" w:themeShade="80"/>
              </w:rPr>
            </w:r>
            <w:r w:rsidR="002F3907" w:rsidRPr="002F3907">
              <w:rPr>
                <w:rFonts w:asciiTheme="minorHAnsi" w:hAnsiTheme="minorHAnsi" w:cstheme="minorHAnsi"/>
                <w:noProof/>
                <w:webHidden/>
                <w:color w:val="1F4E79" w:themeColor="accent5" w:themeShade="80"/>
              </w:rPr>
              <w:fldChar w:fldCharType="separate"/>
            </w:r>
            <w:r w:rsidR="002F3907" w:rsidRPr="002F3907">
              <w:rPr>
                <w:rFonts w:asciiTheme="minorHAnsi" w:hAnsiTheme="minorHAnsi" w:cstheme="minorHAnsi"/>
                <w:noProof/>
                <w:webHidden/>
                <w:color w:val="1F4E79" w:themeColor="accent5" w:themeShade="80"/>
              </w:rPr>
              <w:t>33</w:t>
            </w:r>
            <w:r w:rsidR="002F3907" w:rsidRPr="002F3907">
              <w:rPr>
                <w:rFonts w:asciiTheme="minorHAnsi" w:hAnsiTheme="minorHAnsi" w:cstheme="minorHAnsi"/>
                <w:noProof/>
                <w:webHidden/>
                <w:color w:val="1F4E79" w:themeColor="accent5" w:themeShade="80"/>
              </w:rPr>
              <w:fldChar w:fldCharType="end"/>
            </w:r>
          </w:hyperlink>
        </w:p>
        <w:p w14:paraId="68F2417A" w14:textId="36D1E5DF" w:rsidR="002F3907" w:rsidRPr="002F3907" w:rsidRDefault="007E2F45">
          <w:pPr>
            <w:pStyle w:val="Sumrio1"/>
            <w:tabs>
              <w:tab w:val="left" w:pos="1540"/>
              <w:tab w:val="right" w:leader="dot" w:pos="9060"/>
            </w:tabs>
            <w:rPr>
              <w:rFonts w:asciiTheme="minorHAnsi" w:eastAsiaTheme="minorEastAsia" w:hAnsiTheme="minorHAnsi" w:cstheme="minorHAnsi"/>
              <w:noProof/>
              <w:color w:val="1F4E79" w:themeColor="accent5" w:themeShade="80"/>
              <w:lang w:val="pt-BR" w:eastAsia="pt-BR"/>
            </w:rPr>
          </w:pPr>
          <w:hyperlink w:anchor="_Toc74468869" w:history="1">
            <w:r w:rsidR="002F3907" w:rsidRPr="002F3907">
              <w:rPr>
                <w:rStyle w:val="Hyperlink"/>
                <w:rFonts w:asciiTheme="minorHAnsi" w:hAnsiTheme="minorHAnsi" w:cstheme="minorHAnsi"/>
                <w:b/>
                <w:bCs/>
                <w:noProof/>
                <w:color w:val="1F4E79" w:themeColor="accent5" w:themeShade="80"/>
              </w:rPr>
              <w:t>8.</w:t>
            </w:r>
            <w:r w:rsidR="002F3907" w:rsidRPr="002F3907">
              <w:rPr>
                <w:rFonts w:asciiTheme="minorHAnsi" w:eastAsiaTheme="minorEastAsia" w:hAnsiTheme="minorHAnsi" w:cstheme="minorHAnsi"/>
                <w:noProof/>
                <w:color w:val="1F4E79" w:themeColor="accent5" w:themeShade="80"/>
                <w:lang w:val="pt-BR" w:eastAsia="pt-BR"/>
              </w:rPr>
              <w:tab/>
            </w:r>
            <w:r w:rsidR="002F3907" w:rsidRPr="002F3907">
              <w:rPr>
                <w:rStyle w:val="Hyperlink"/>
                <w:rFonts w:asciiTheme="minorHAnsi" w:hAnsiTheme="minorHAnsi" w:cstheme="minorHAnsi"/>
                <w:b/>
                <w:bCs/>
                <w:noProof/>
                <w:color w:val="1F4E79" w:themeColor="accent5" w:themeShade="80"/>
              </w:rPr>
              <w:t>REFERÊNCIAS BIBLIOGRÁFICAS</w:t>
            </w:r>
            <w:r w:rsidR="002F3907" w:rsidRPr="002F3907">
              <w:rPr>
                <w:rFonts w:asciiTheme="minorHAnsi" w:hAnsiTheme="minorHAnsi" w:cstheme="minorHAnsi"/>
                <w:noProof/>
                <w:webHidden/>
                <w:color w:val="1F4E79" w:themeColor="accent5" w:themeShade="80"/>
              </w:rPr>
              <w:tab/>
            </w:r>
            <w:r w:rsidR="002F3907" w:rsidRPr="002F3907">
              <w:rPr>
                <w:rFonts w:asciiTheme="minorHAnsi" w:hAnsiTheme="minorHAnsi" w:cstheme="minorHAnsi"/>
                <w:noProof/>
                <w:webHidden/>
                <w:color w:val="1F4E79" w:themeColor="accent5" w:themeShade="80"/>
              </w:rPr>
              <w:fldChar w:fldCharType="begin"/>
            </w:r>
            <w:r w:rsidR="002F3907" w:rsidRPr="002F3907">
              <w:rPr>
                <w:rFonts w:asciiTheme="minorHAnsi" w:hAnsiTheme="minorHAnsi" w:cstheme="minorHAnsi"/>
                <w:noProof/>
                <w:webHidden/>
                <w:color w:val="1F4E79" w:themeColor="accent5" w:themeShade="80"/>
              </w:rPr>
              <w:instrText xml:space="preserve"> PAGEREF _Toc74468869 \h </w:instrText>
            </w:r>
            <w:r w:rsidR="002F3907" w:rsidRPr="002F3907">
              <w:rPr>
                <w:rFonts w:asciiTheme="minorHAnsi" w:hAnsiTheme="minorHAnsi" w:cstheme="minorHAnsi"/>
                <w:noProof/>
                <w:webHidden/>
                <w:color w:val="1F4E79" w:themeColor="accent5" w:themeShade="80"/>
              </w:rPr>
            </w:r>
            <w:r w:rsidR="002F3907" w:rsidRPr="002F3907">
              <w:rPr>
                <w:rFonts w:asciiTheme="minorHAnsi" w:hAnsiTheme="minorHAnsi" w:cstheme="minorHAnsi"/>
                <w:noProof/>
                <w:webHidden/>
                <w:color w:val="1F4E79" w:themeColor="accent5" w:themeShade="80"/>
              </w:rPr>
              <w:fldChar w:fldCharType="separate"/>
            </w:r>
            <w:r w:rsidR="002F3907" w:rsidRPr="002F3907">
              <w:rPr>
                <w:rFonts w:asciiTheme="minorHAnsi" w:hAnsiTheme="minorHAnsi" w:cstheme="minorHAnsi"/>
                <w:noProof/>
                <w:webHidden/>
                <w:color w:val="1F4E79" w:themeColor="accent5" w:themeShade="80"/>
              </w:rPr>
              <w:t>35</w:t>
            </w:r>
            <w:r w:rsidR="002F3907" w:rsidRPr="002F3907">
              <w:rPr>
                <w:rFonts w:asciiTheme="minorHAnsi" w:hAnsiTheme="minorHAnsi" w:cstheme="minorHAnsi"/>
                <w:noProof/>
                <w:webHidden/>
                <w:color w:val="1F4E79" w:themeColor="accent5" w:themeShade="80"/>
              </w:rPr>
              <w:fldChar w:fldCharType="end"/>
            </w:r>
          </w:hyperlink>
        </w:p>
        <w:p w14:paraId="30C6C5D4" w14:textId="45F2FDF0" w:rsidR="002F3907" w:rsidRPr="002F3907" w:rsidRDefault="007E2F45">
          <w:pPr>
            <w:pStyle w:val="Sumrio1"/>
            <w:tabs>
              <w:tab w:val="left" w:pos="1540"/>
              <w:tab w:val="right" w:leader="dot" w:pos="9060"/>
            </w:tabs>
            <w:rPr>
              <w:rFonts w:asciiTheme="minorHAnsi" w:eastAsiaTheme="minorEastAsia" w:hAnsiTheme="minorHAnsi" w:cstheme="minorHAnsi"/>
              <w:noProof/>
              <w:color w:val="1F4E79" w:themeColor="accent5" w:themeShade="80"/>
              <w:lang w:val="pt-BR" w:eastAsia="pt-BR"/>
            </w:rPr>
          </w:pPr>
          <w:hyperlink w:anchor="_Toc74468870" w:history="1">
            <w:r w:rsidR="002F3907" w:rsidRPr="002F3907">
              <w:rPr>
                <w:rStyle w:val="Hyperlink"/>
                <w:rFonts w:asciiTheme="minorHAnsi" w:hAnsiTheme="minorHAnsi" w:cstheme="minorHAnsi"/>
                <w:b/>
                <w:bCs/>
                <w:noProof/>
                <w:color w:val="1F4E79" w:themeColor="accent5" w:themeShade="80"/>
              </w:rPr>
              <w:t>9.</w:t>
            </w:r>
            <w:r w:rsidR="002F3907" w:rsidRPr="002F3907">
              <w:rPr>
                <w:rFonts w:asciiTheme="minorHAnsi" w:eastAsiaTheme="minorEastAsia" w:hAnsiTheme="minorHAnsi" w:cstheme="minorHAnsi"/>
                <w:noProof/>
                <w:color w:val="1F4E79" w:themeColor="accent5" w:themeShade="80"/>
                <w:lang w:val="pt-BR" w:eastAsia="pt-BR"/>
              </w:rPr>
              <w:tab/>
            </w:r>
            <w:r w:rsidR="002F3907" w:rsidRPr="002F3907">
              <w:rPr>
                <w:rStyle w:val="Hyperlink"/>
                <w:rFonts w:asciiTheme="minorHAnsi" w:hAnsiTheme="minorHAnsi" w:cstheme="minorHAnsi"/>
                <w:b/>
                <w:bCs/>
                <w:noProof/>
                <w:color w:val="1F4E79" w:themeColor="accent5" w:themeShade="80"/>
              </w:rPr>
              <w:t>GLOSSÁRIO</w:t>
            </w:r>
            <w:r w:rsidR="002F3907" w:rsidRPr="002F3907">
              <w:rPr>
                <w:rFonts w:asciiTheme="minorHAnsi" w:hAnsiTheme="minorHAnsi" w:cstheme="minorHAnsi"/>
                <w:noProof/>
                <w:webHidden/>
                <w:color w:val="1F4E79" w:themeColor="accent5" w:themeShade="80"/>
              </w:rPr>
              <w:tab/>
            </w:r>
            <w:r w:rsidR="002F3907" w:rsidRPr="002F3907">
              <w:rPr>
                <w:rFonts w:asciiTheme="minorHAnsi" w:hAnsiTheme="minorHAnsi" w:cstheme="minorHAnsi"/>
                <w:noProof/>
                <w:webHidden/>
                <w:color w:val="1F4E79" w:themeColor="accent5" w:themeShade="80"/>
              </w:rPr>
              <w:fldChar w:fldCharType="begin"/>
            </w:r>
            <w:r w:rsidR="002F3907" w:rsidRPr="002F3907">
              <w:rPr>
                <w:rFonts w:asciiTheme="minorHAnsi" w:hAnsiTheme="minorHAnsi" w:cstheme="minorHAnsi"/>
                <w:noProof/>
                <w:webHidden/>
                <w:color w:val="1F4E79" w:themeColor="accent5" w:themeShade="80"/>
              </w:rPr>
              <w:instrText xml:space="preserve"> PAGEREF _Toc74468870 \h </w:instrText>
            </w:r>
            <w:r w:rsidR="002F3907" w:rsidRPr="002F3907">
              <w:rPr>
                <w:rFonts w:asciiTheme="minorHAnsi" w:hAnsiTheme="minorHAnsi" w:cstheme="minorHAnsi"/>
                <w:noProof/>
                <w:webHidden/>
                <w:color w:val="1F4E79" w:themeColor="accent5" w:themeShade="80"/>
              </w:rPr>
            </w:r>
            <w:r w:rsidR="002F3907" w:rsidRPr="002F3907">
              <w:rPr>
                <w:rFonts w:asciiTheme="minorHAnsi" w:hAnsiTheme="minorHAnsi" w:cstheme="minorHAnsi"/>
                <w:noProof/>
                <w:webHidden/>
                <w:color w:val="1F4E79" w:themeColor="accent5" w:themeShade="80"/>
              </w:rPr>
              <w:fldChar w:fldCharType="separate"/>
            </w:r>
            <w:r w:rsidR="002F3907" w:rsidRPr="002F3907">
              <w:rPr>
                <w:rFonts w:asciiTheme="minorHAnsi" w:hAnsiTheme="minorHAnsi" w:cstheme="minorHAnsi"/>
                <w:noProof/>
                <w:webHidden/>
                <w:color w:val="1F4E79" w:themeColor="accent5" w:themeShade="80"/>
              </w:rPr>
              <w:t>36</w:t>
            </w:r>
            <w:r w:rsidR="002F3907" w:rsidRPr="002F3907">
              <w:rPr>
                <w:rFonts w:asciiTheme="minorHAnsi" w:hAnsiTheme="minorHAnsi" w:cstheme="minorHAnsi"/>
                <w:noProof/>
                <w:webHidden/>
                <w:color w:val="1F4E79" w:themeColor="accent5" w:themeShade="80"/>
              </w:rPr>
              <w:fldChar w:fldCharType="end"/>
            </w:r>
          </w:hyperlink>
        </w:p>
        <w:p w14:paraId="54A02E0E" w14:textId="61EA7E48" w:rsidR="002F3907" w:rsidRPr="002F3907" w:rsidRDefault="007E2F45">
          <w:pPr>
            <w:pStyle w:val="Sumrio1"/>
            <w:tabs>
              <w:tab w:val="right" w:leader="dot" w:pos="9060"/>
            </w:tabs>
            <w:rPr>
              <w:rFonts w:asciiTheme="minorHAnsi" w:eastAsiaTheme="minorEastAsia" w:hAnsiTheme="minorHAnsi" w:cstheme="minorHAnsi"/>
              <w:noProof/>
              <w:color w:val="1F4E79" w:themeColor="accent5" w:themeShade="80"/>
              <w:lang w:val="pt-BR" w:eastAsia="pt-BR"/>
            </w:rPr>
          </w:pPr>
          <w:hyperlink w:anchor="_Toc74468871" w:history="1">
            <w:r w:rsidR="002F3907" w:rsidRPr="002F3907">
              <w:rPr>
                <w:rStyle w:val="Hyperlink"/>
                <w:rFonts w:asciiTheme="minorHAnsi" w:hAnsiTheme="minorHAnsi" w:cstheme="minorHAnsi"/>
                <w:b/>
                <w:bCs/>
                <w:noProof/>
                <w:color w:val="1F4E79" w:themeColor="accent5" w:themeShade="80"/>
              </w:rPr>
              <w:t>APÊNDICE 1 - Método de Priorização de Processos</w:t>
            </w:r>
            <w:r w:rsidR="002F3907" w:rsidRPr="002F3907">
              <w:rPr>
                <w:rFonts w:asciiTheme="minorHAnsi" w:hAnsiTheme="minorHAnsi" w:cstheme="minorHAnsi"/>
                <w:noProof/>
                <w:webHidden/>
                <w:color w:val="1F4E79" w:themeColor="accent5" w:themeShade="80"/>
              </w:rPr>
              <w:tab/>
            </w:r>
            <w:r w:rsidR="002F3907" w:rsidRPr="002F3907">
              <w:rPr>
                <w:rFonts w:asciiTheme="minorHAnsi" w:hAnsiTheme="minorHAnsi" w:cstheme="minorHAnsi"/>
                <w:noProof/>
                <w:webHidden/>
                <w:color w:val="1F4E79" w:themeColor="accent5" w:themeShade="80"/>
              </w:rPr>
              <w:fldChar w:fldCharType="begin"/>
            </w:r>
            <w:r w:rsidR="002F3907" w:rsidRPr="002F3907">
              <w:rPr>
                <w:rFonts w:asciiTheme="minorHAnsi" w:hAnsiTheme="minorHAnsi" w:cstheme="minorHAnsi"/>
                <w:noProof/>
                <w:webHidden/>
                <w:color w:val="1F4E79" w:themeColor="accent5" w:themeShade="80"/>
              </w:rPr>
              <w:instrText xml:space="preserve"> PAGEREF _Toc74468871 \h </w:instrText>
            </w:r>
            <w:r w:rsidR="002F3907" w:rsidRPr="002F3907">
              <w:rPr>
                <w:rFonts w:asciiTheme="minorHAnsi" w:hAnsiTheme="minorHAnsi" w:cstheme="minorHAnsi"/>
                <w:noProof/>
                <w:webHidden/>
                <w:color w:val="1F4E79" w:themeColor="accent5" w:themeShade="80"/>
              </w:rPr>
            </w:r>
            <w:r w:rsidR="002F3907" w:rsidRPr="002F3907">
              <w:rPr>
                <w:rFonts w:asciiTheme="minorHAnsi" w:hAnsiTheme="minorHAnsi" w:cstheme="minorHAnsi"/>
                <w:noProof/>
                <w:webHidden/>
                <w:color w:val="1F4E79" w:themeColor="accent5" w:themeShade="80"/>
              </w:rPr>
              <w:fldChar w:fldCharType="separate"/>
            </w:r>
            <w:r w:rsidR="002F3907" w:rsidRPr="002F3907">
              <w:rPr>
                <w:rFonts w:asciiTheme="minorHAnsi" w:hAnsiTheme="minorHAnsi" w:cstheme="minorHAnsi"/>
                <w:noProof/>
                <w:webHidden/>
                <w:color w:val="1F4E79" w:themeColor="accent5" w:themeShade="80"/>
              </w:rPr>
              <w:t>39</w:t>
            </w:r>
            <w:r w:rsidR="002F3907" w:rsidRPr="002F3907">
              <w:rPr>
                <w:rFonts w:asciiTheme="minorHAnsi" w:hAnsiTheme="minorHAnsi" w:cstheme="minorHAnsi"/>
                <w:noProof/>
                <w:webHidden/>
                <w:color w:val="1F4E79" w:themeColor="accent5" w:themeShade="80"/>
              </w:rPr>
              <w:fldChar w:fldCharType="end"/>
            </w:r>
          </w:hyperlink>
        </w:p>
        <w:p w14:paraId="7B9A7E33" w14:textId="53C9F708" w:rsidR="00FD7D45" w:rsidRPr="002F3907" w:rsidRDefault="00FD7D45" w:rsidP="00FD7D45">
          <w:pPr>
            <w:pStyle w:val="Sumrio1"/>
            <w:tabs>
              <w:tab w:val="right" w:leader="dot" w:pos="8777"/>
            </w:tabs>
            <w:rPr>
              <w:rFonts w:asciiTheme="minorHAnsi" w:hAnsiTheme="minorHAnsi" w:cstheme="minorHAnsi"/>
              <w:bCs/>
              <w:color w:val="1F4E79" w:themeColor="accent5" w:themeShade="80"/>
            </w:rPr>
          </w:pPr>
          <w:r w:rsidRPr="002F3907">
            <w:rPr>
              <w:rFonts w:asciiTheme="minorHAnsi" w:hAnsiTheme="minorHAnsi" w:cstheme="minorHAnsi"/>
              <w:bCs/>
              <w:color w:val="1F4E79" w:themeColor="accent5" w:themeShade="80"/>
            </w:rPr>
            <w:fldChar w:fldCharType="end"/>
          </w:r>
        </w:p>
      </w:sdtContent>
    </w:sdt>
    <w:p w14:paraId="70E86C27" w14:textId="07210805" w:rsidR="00FD7D45" w:rsidRDefault="00FD7D45" w:rsidP="00FD7D45">
      <w:pPr>
        <w:rPr>
          <w:color w:val="2F5496" w:themeColor="accent1" w:themeShade="BF"/>
        </w:rPr>
      </w:pPr>
      <w:r>
        <w:rPr>
          <w:color w:val="2F5496" w:themeColor="accent1" w:themeShade="BF"/>
        </w:rPr>
        <w:br w:type="page"/>
      </w:r>
    </w:p>
    <w:p w14:paraId="1F89F74D" w14:textId="77777777" w:rsidR="00FD7D45" w:rsidRPr="00A859AF" w:rsidRDefault="00FD7D45" w:rsidP="00586858">
      <w:pPr>
        <w:pStyle w:val="Ttulo1"/>
        <w:numPr>
          <w:ilvl w:val="0"/>
          <w:numId w:val="4"/>
        </w:numPr>
        <w:spacing w:before="120" w:after="120"/>
        <w:rPr>
          <w:rFonts w:asciiTheme="minorHAnsi" w:hAnsiTheme="minorHAnsi" w:cstheme="minorHAnsi"/>
          <w:b/>
          <w:bCs/>
          <w:sz w:val="24"/>
          <w:szCs w:val="24"/>
        </w:rPr>
      </w:pPr>
      <w:bookmarkStart w:id="0" w:name="_TOC_250008"/>
      <w:bookmarkStart w:id="1" w:name="_Toc74468848"/>
      <w:bookmarkEnd w:id="0"/>
      <w:r w:rsidRPr="00A859AF">
        <w:rPr>
          <w:rFonts w:asciiTheme="minorHAnsi" w:hAnsiTheme="minorHAnsi" w:cstheme="minorHAnsi"/>
          <w:b/>
          <w:bCs/>
          <w:sz w:val="24"/>
          <w:szCs w:val="24"/>
        </w:rPr>
        <w:t>INTRODUÇÃO</w:t>
      </w:r>
      <w:bookmarkEnd w:id="1"/>
    </w:p>
    <w:p w14:paraId="0AE10471" w14:textId="77777777" w:rsidR="00FD7D45" w:rsidRDefault="00FD7D45" w:rsidP="00FD7D45">
      <w:pPr>
        <w:spacing w:before="60" w:after="120" w:line="360" w:lineRule="auto"/>
        <w:ind w:firstLine="720"/>
        <w:jc w:val="both"/>
        <w:rPr>
          <w:color w:val="FF0000"/>
          <w:sz w:val="24"/>
          <w:szCs w:val="24"/>
        </w:rPr>
      </w:pPr>
    </w:p>
    <w:p w14:paraId="757410C1" w14:textId="77777777" w:rsidR="00FD7D45" w:rsidRPr="009916CA" w:rsidRDefault="00FD7D45" w:rsidP="00FD7D45">
      <w:pPr>
        <w:spacing w:before="60" w:after="120" w:line="360" w:lineRule="auto"/>
        <w:ind w:firstLine="720"/>
        <w:jc w:val="both"/>
        <w:rPr>
          <w:sz w:val="24"/>
          <w:szCs w:val="24"/>
        </w:rPr>
      </w:pPr>
      <w:r w:rsidRPr="009916CA">
        <w:rPr>
          <w:sz w:val="24"/>
          <w:szCs w:val="24"/>
        </w:rPr>
        <w:t>A sistematização da gestão de riscos aumenta a capacidade da organização para lidar com incertezas, estimula a transparência e contribui para o uso eficiente, eficaz e efetivo de recursos, bem como para o fortalecimento da sua imagem. A gestão de riscos é um processo interativo, auxilia as organizações no estabelecimento de estratégias para o alcance dos seus objetivos e na tomada de decisões fundamentadas.</w:t>
      </w:r>
    </w:p>
    <w:p w14:paraId="00B3B4AD" w14:textId="77777777" w:rsidR="00FD7D45" w:rsidRPr="009916CA" w:rsidRDefault="00FD7D45" w:rsidP="00FD7D45">
      <w:pPr>
        <w:spacing w:before="60" w:after="120" w:line="360" w:lineRule="auto"/>
        <w:ind w:firstLine="720"/>
        <w:jc w:val="both"/>
        <w:rPr>
          <w:sz w:val="24"/>
          <w:szCs w:val="24"/>
        </w:rPr>
      </w:pPr>
      <w:r w:rsidRPr="009916CA">
        <w:rPr>
          <w:sz w:val="24"/>
          <w:szCs w:val="24"/>
        </w:rPr>
        <w:t xml:space="preserve">O Ministério do Planejamento, Desenvolvimento e Gestão (MP), Ministério da Transparência e Controladoria-Geral da União (CGU) expediram, em 2016, a Instrução Normativa Conjunta nº 01, que dispõe sobre controles internos, gestão de riscos e governança no âmbito do Poder Executivo Federal. </w:t>
      </w:r>
    </w:p>
    <w:p w14:paraId="09270E5E" w14:textId="77777777" w:rsidR="00FD7D45" w:rsidRPr="009916CA" w:rsidRDefault="00FD7D45" w:rsidP="00FD7D45">
      <w:pPr>
        <w:spacing w:before="60" w:after="120" w:line="360" w:lineRule="auto"/>
        <w:ind w:firstLine="720"/>
        <w:jc w:val="both"/>
        <w:rPr>
          <w:sz w:val="24"/>
          <w:szCs w:val="24"/>
        </w:rPr>
      </w:pPr>
      <w:r w:rsidRPr="009916CA">
        <w:rPr>
          <w:sz w:val="24"/>
          <w:szCs w:val="24"/>
        </w:rPr>
        <w:t>Em 2017, foi editado o Decreto nº 9.203, de 22 de novembro de 2017, que dispõe sobre a política de governança da administração pública federal, que trata, entre outros temas, da gestão de riscos na administração pública.</w:t>
      </w:r>
    </w:p>
    <w:p w14:paraId="3A5EE47F" w14:textId="2FA356B9" w:rsidR="00FD7D45" w:rsidRPr="009916CA" w:rsidRDefault="00FD7D45" w:rsidP="00FD7D45">
      <w:pPr>
        <w:spacing w:before="60" w:after="120" w:line="360" w:lineRule="auto"/>
        <w:ind w:firstLine="720"/>
        <w:jc w:val="both"/>
        <w:rPr>
          <w:sz w:val="24"/>
          <w:szCs w:val="24"/>
        </w:rPr>
      </w:pPr>
      <w:r w:rsidRPr="009916CA">
        <w:rPr>
          <w:sz w:val="24"/>
          <w:szCs w:val="24"/>
        </w:rPr>
        <w:t xml:space="preserve">A proposta desta metodologia é apresentar os principais </w:t>
      </w:r>
      <w:r w:rsidRPr="003C0071">
        <w:rPr>
          <w:sz w:val="24"/>
          <w:szCs w:val="24"/>
        </w:rPr>
        <w:t xml:space="preserve">referenciais </w:t>
      </w:r>
      <w:r>
        <w:rPr>
          <w:sz w:val="24"/>
          <w:szCs w:val="24"/>
        </w:rPr>
        <w:t xml:space="preserve">que </w:t>
      </w:r>
      <w:r w:rsidR="00E101A7">
        <w:rPr>
          <w:sz w:val="24"/>
          <w:szCs w:val="24"/>
        </w:rPr>
        <w:t>norteiam</w:t>
      </w:r>
      <w:r>
        <w:rPr>
          <w:sz w:val="24"/>
          <w:szCs w:val="24"/>
        </w:rPr>
        <w:t xml:space="preserve"> a sistematização da </w:t>
      </w:r>
      <w:r w:rsidRPr="009916CA">
        <w:rPr>
          <w:sz w:val="24"/>
          <w:szCs w:val="24"/>
        </w:rPr>
        <w:t>gestão de riscos</w:t>
      </w:r>
      <w:r>
        <w:rPr>
          <w:sz w:val="24"/>
          <w:szCs w:val="24"/>
        </w:rPr>
        <w:t xml:space="preserve"> no </w:t>
      </w:r>
      <w:r w:rsidRPr="009916CA">
        <w:rPr>
          <w:sz w:val="24"/>
          <w:szCs w:val="24"/>
        </w:rPr>
        <w:t>Ministério da Saúde</w:t>
      </w:r>
      <w:r>
        <w:rPr>
          <w:sz w:val="24"/>
          <w:szCs w:val="24"/>
        </w:rPr>
        <w:t xml:space="preserve">, incluindo a </w:t>
      </w:r>
      <w:r w:rsidRPr="009916CA">
        <w:rPr>
          <w:sz w:val="24"/>
          <w:szCs w:val="24"/>
        </w:rPr>
        <w:t>estrutura de governança, o método de priorização e as etapas do processo de gerenciamento de riscos.</w:t>
      </w:r>
      <w:r>
        <w:rPr>
          <w:sz w:val="24"/>
          <w:szCs w:val="24"/>
        </w:rPr>
        <w:t xml:space="preserve"> </w:t>
      </w:r>
      <w:r w:rsidRPr="009916CA">
        <w:rPr>
          <w:sz w:val="24"/>
          <w:szCs w:val="24"/>
        </w:rPr>
        <w:t>Os riscos considerados estratégicos assumem uma importância maior pelo efeito que podem provocar na organização, merecendo</w:t>
      </w:r>
      <w:r>
        <w:rPr>
          <w:sz w:val="24"/>
          <w:szCs w:val="24"/>
        </w:rPr>
        <w:t xml:space="preserve">, dessa forma, </w:t>
      </w:r>
      <w:r w:rsidRPr="009916CA">
        <w:rPr>
          <w:sz w:val="24"/>
          <w:szCs w:val="24"/>
        </w:rPr>
        <w:t>especial atenção dos gestores que formulam e aprovam as estratégias.</w:t>
      </w:r>
      <w:r>
        <w:rPr>
          <w:sz w:val="24"/>
          <w:szCs w:val="24"/>
        </w:rPr>
        <w:t xml:space="preserve"> </w:t>
      </w:r>
    </w:p>
    <w:p w14:paraId="6570B1E4" w14:textId="71BBA578" w:rsidR="00FD7D45" w:rsidRPr="009916CA" w:rsidRDefault="00FD7D45" w:rsidP="00FD7D45">
      <w:pPr>
        <w:spacing w:before="60" w:after="120" w:line="360" w:lineRule="auto"/>
        <w:ind w:firstLine="720"/>
        <w:jc w:val="both"/>
        <w:rPr>
          <w:sz w:val="24"/>
          <w:szCs w:val="24"/>
        </w:rPr>
      </w:pPr>
      <w:r w:rsidRPr="009916CA">
        <w:rPr>
          <w:sz w:val="24"/>
          <w:szCs w:val="24"/>
        </w:rPr>
        <w:t xml:space="preserve">Esta metodologia foi elaborada a partir da </w:t>
      </w:r>
      <w:r>
        <w:rPr>
          <w:sz w:val="24"/>
          <w:szCs w:val="24"/>
        </w:rPr>
        <w:t>P</w:t>
      </w:r>
      <w:r w:rsidRPr="009916CA">
        <w:rPr>
          <w:sz w:val="24"/>
          <w:szCs w:val="24"/>
        </w:rPr>
        <w:t xml:space="preserve">olítica de </w:t>
      </w:r>
      <w:r>
        <w:rPr>
          <w:sz w:val="24"/>
          <w:szCs w:val="24"/>
        </w:rPr>
        <w:t>G</w:t>
      </w:r>
      <w:r w:rsidRPr="009916CA">
        <w:rPr>
          <w:sz w:val="24"/>
          <w:szCs w:val="24"/>
        </w:rPr>
        <w:t xml:space="preserve">estão de </w:t>
      </w:r>
      <w:r>
        <w:rPr>
          <w:sz w:val="24"/>
          <w:szCs w:val="24"/>
        </w:rPr>
        <w:t>R</w:t>
      </w:r>
      <w:r w:rsidRPr="009916CA">
        <w:rPr>
          <w:sz w:val="24"/>
          <w:szCs w:val="24"/>
        </w:rPr>
        <w:t xml:space="preserve">iscos </w:t>
      </w:r>
      <w:r>
        <w:rPr>
          <w:sz w:val="24"/>
          <w:szCs w:val="24"/>
        </w:rPr>
        <w:t xml:space="preserve">(PGR), divulgada por meio da </w:t>
      </w:r>
      <w:r w:rsidRPr="00E338C0">
        <w:rPr>
          <w:sz w:val="24"/>
          <w:szCs w:val="24"/>
        </w:rPr>
        <w:t xml:space="preserve">Portaria </w:t>
      </w:r>
      <w:r w:rsidR="00E338C0">
        <w:rPr>
          <w:sz w:val="24"/>
          <w:szCs w:val="24"/>
        </w:rPr>
        <w:t>GM/MS 1.185, d</w:t>
      </w:r>
      <w:r w:rsidRPr="00E338C0">
        <w:rPr>
          <w:sz w:val="24"/>
          <w:szCs w:val="24"/>
        </w:rPr>
        <w:t xml:space="preserve">e </w:t>
      </w:r>
      <w:r w:rsidR="00E338C0">
        <w:rPr>
          <w:sz w:val="24"/>
          <w:szCs w:val="24"/>
        </w:rPr>
        <w:t>9</w:t>
      </w:r>
      <w:r w:rsidRPr="00E338C0">
        <w:rPr>
          <w:sz w:val="24"/>
          <w:szCs w:val="24"/>
        </w:rPr>
        <w:t xml:space="preserve"> de junho de 2021</w:t>
      </w:r>
      <w:r>
        <w:rPr>
          <w:sz w:val="24"/>
          <w:szCs w:val="24"/>
        </w:rPr>
        <w:t xml:space="preserve">, </w:t>
      </w:r>
      <w:r w:rsidRPr="009916CA">
        <w:rPr>
          <w:sz w:val="24"/>
          <w:szCs w:val="24"/>
        </w:rPr>
        <w:t xml:space="preserve">e representa um instrumento importante para </w:t>
      </w:r>
      <w:r>
        <w:rPr>
          <w:sz w:val="24"/>
          <w:szCs w:val="24"/>
        </w:rPr>
        <w:t xml:space="preserve">a </w:t>
      </w:r>
      <w:r w:rsidRPr="009916CA">
        <w:rPr>
          <w:sz w:val="24"/>
          <w:szCs w:val="24"/>
        </w:rPr>
        <w:t>sua implementação</w:t>
      </w:r>
      <w:r>
        <w:rPr>
          <w:sz w:val="24"/>
          <w:szCs w:val="24"/>
        </w:rPr>
        <w:t>, e não tem o objetivo de esgotar o assunto, devendo estar em constante aprimoramento.</w:t>
      </w:r>
    </w:p>
    <w:p w14:paraId="2F656094" w14:textId="77777777" w:rsidR="00FD7D45" w:rsidRPr="009916CA" w:rsidRDefault="00FD7D45" w:rsidP="00FD7D45">
      <w:pPr>
        <w:spacing w:before="60" w:after="120" w:line="360" w:lineRule="auto"/>
        <w:ind w:firstLine="720"/>
        <w:jc w:val="both"/>
        <w:rPr>
          <w:sz w:val="24"/>
          <w:szCs w:val="24"/>
        </w:rPr>
      </w:pPr>
    </w:p>
    <w:p w14:paraId="5F36E50E" w14:textId="77777777" w:rsidR="00FD7D45" w:rsidRPr="009916CA" w:rsidRDefault="00FD7D45" w:rsidP="00FD7D45">
      <w:pPr>
        <w:spacing w:before="60" w:after="120" w:line="360" w:lineRule="auto"/>
        <w:ind w:firstLine="720"/>
        <w:jc w:val="both"/>
        <w:rPr>
          <w:sz w:val="24"/>
          <w:szCs w:val="24"/>
        </w:rPr>
      </w:pPr>
    </w:p>
    <w:p w14:paraId="57FE3B60" w14:textId="77777777" w:rsidR="00FD7D45" w:rsidRPr="009916CA" w:rsidRDefault="00FD7D45" w:rsidP="00FD7D45">
      <w:pPr>
        <w:spacing w:before="60" w:after="120" w:line="360" w:lineRule="auto"/>
        <w:ind w:firstLine="720"/>
        <w:jc w:val="both"/>
        <w:rPr>
          <w:sz w:val="24"/>
          <w:szCs w:val="24"/>
        </w:rPr>
      </w:pPr>
    </w:p>
    <w:p w14:paraId="5ADA26B2" w14:textId="77777777" w:rsidR="00FD7D45" w:rsidRPr="00A859AF" w:rsidRDefault="00FD7D45" w:rsidP="00586858">
      <w:pPr>
        <w:pStyle w:val="Ttulo1"/>
        <w:numPr>
          <w:ilvl w:val="0"/>
          <w:numId w:val="4"/>
        </w:numPr>
        <w:spacing w:before="120" w:after="120"/>
        <w:rPr>
          <w:rFonts w:asciiTheme="minorHAnsi" w:hAnsiTheme="minorHAnsi" w:cstheme="minorHAnsi"/>
          <w:b/>
          <w:bCs/>
          <w:sz w:val="24"/>
          <w:szCs w:val="24"/>
        </w:rPr>
      </w:pPr>
      <w:bookmarkStart w:id="2" w:name="_Toc74468849"/>
      <w:r w:rsidRPr="00A859AF">
        <w:rPr>
          <w:rFonts w:asciiTheme="minorHAnsi" w:hAnsiTheme="minorHAnsi" w:cstheme="minorHAnsi"/>
          <w:b/>
          <w:bCs/>
          <w:sz w:val="24"/>
          <w:szCs w:val="24"/>
        </w:rPr>
        <w:t>OBJETIVOS DA GESTÃO DE RISCOS NO MINISTÉRIO DA SAÚDE</w:t>
      </w:r>
      <w:bookmarkEnd w:id="2"/>
    </w:p>
    <w:p w14:paraId="7E0B50AE" w14:textId="77777777" w:rsidR="00FD7D45" w:rsidRDefault="00FD7D45" w:rsidP="00FD7D45">
      <w:pPr>
        <w:spacing w:before="60" w:after="120" w:line="360" w:lineRule="auto"/>
        <w:ind w:firstLine="720"/>
        <w:jc w:val="both"/>
        <w:rPr>
          <w:sz w:val="24"/>
          <w:szCs w:val="24"/>
        </w:rPr>
      </w:pPr>
    </w:p>
    <w:p w14:paraId="13231122" w14:textId="77777777" w:rsidR="00FD7D45" w:rsidRPr="005D316E" w:rsidRDefault="00FD7D45" w:rsidP="00FD7D45">
      <w:pPr>
        <w:spacing w:before="60" w:after="120" w:line="360" w:lineRule="auto"/>
        <w:ind w:firstLine="720"/>
        <w:jc w:val="both"/>
        <w:rPr>
          <w:sz w:val="24"/>
          <w:szCs w:val="24"/>
        </w:rPr>
      </w:pPr>
      <w:r>
        <w:rPr>
          <w:sz w:val="24"/>
          <w:szCs w:val="24"/>
        </w:rPr>
        <w:t>Os</w:t>
      </w:r>
      <w:r w:rsidRPr="003A6085">
        <w:rPr>
          <w:sz w:val="24"/>
          <w:szCs w:val="24"/>
        </w:rPr>
        <w:t xml:space="preserve"> objetivos</w:t>
      </w:r>
      <w:r>
        <w:rPr>
          <w:sz w:val="24"/>
          <w:szCs w:val="24"/>
        </w:rPr>
        <w:t xml:space="preserve"> da gestão de riscos estão declarados na Política de Gestão de Riscos do Ministério da Saúde em seu </w:t>
      </w:r>
      <w:r w:rsidRPr="005D316E">
        <w:rPr>
          <w:sz w:val="24"/>
          <w:szCs w:val="24"/>
        </w:rPr>
        <w:t>Art. 2º</w:t>
      </w:r>
      <w:r>
        <w:rPr>
          <w:sz w:val="24"/>
          <w:szCs w:val="24"/>
        </w:rPr>
        <w:t>, que são</w:t>
      </w:r>
      <w:r w:rsidRPr="005D316E">
        <w:rPr>
          <w:sz w:val="24"/>
          <w:szCs w:val="24"/>
        </w:rPr>
        <w:t>:</w:t>
      </w:r>
    </w:p>
    <w:p w14:paraId="43550ACF" w14:textId="77777777" w:rsidR="00FD7D45" w:rsidRPr="005D316E" w:rsidRDefault="00FD7D45" w:rsidP="00FD7D45">
      <w:pPr>
        <w:spacing w:before="60" w:after="120" w:line="360" w:lineRule="auto"/>
        <w:ind w:firstLine="720"/>
        <w:jc w:val="both"/>
        <w:rPr>
          <w:sz w:val="24"/>
          <w:szCs w:val="24"/>
        </w:rPr>
      </w:pPr>
      <w:r w:rsidRPr="005D316E">
        <w:rPr>
          <w:sz w:val="24"/>
          <w:szCs w:val="24"/>
        </w:rPr>
        <w:t xml:space="preserve">I – </w:t>
      </w:r>
      <w:proofErr w:type="gramStart"/>
      <w:r w:rsidRPr="005D316E">
        <w:rPr>
          <w:sz w:val="24"/>
          <w:szCs w:val="24"/>
        </w:rPr>
        <w:t>subsidiar</w:t>
      </w:r>
      <w:proofErr w:type="gramEnd"/>
      <w:r w:rsidRPr="005D316E">
        <w:rPr>
          <w:sz w:val="24"/>
          <w:szCs w:val="24"/>
        </w:rPr>
        <w:t xml:space="preserve"> a tomada de decisão para o alcance dos objetivos institucionais;</w:t>
      </w:r>
      <w:r>
        <w:rPr>
          <w:sz w:val="24"/>
          <w:szCs w:val="24"/>
        </w:rPr>
        <w:t xml:space="preserve"> e</w:t>
      </w:r>
    </w:p>
    <w:p w14:paraId="308C8FA7" w14:textId="77777777" w:rsidR="00FD7D45" w:rsidRDefault="00FD7D45" w:rsidP="00FD7D45">
      <w:pPr>
        <w:spacing w:before="60" w:after="120" w:line="360" w:lineRule="auto"/>
        <w:ind w:firstLine="720"/>
        <w:jc w:val="both"/>
        <w:rPr>
          <w:sz w:val="24"/>
          <w:szCs w:val="24"/>
        </w:rPr>
      </w:pPr>
      <w:r w:rsidRPr="005D316E">
        <w:rPr>
          <w:sz w:val="24"/>
          <w:szCs w:val="24"/>
        </w:rPr>
        <w:t xml:space="preserve">II – </w:t>
      </w:r>
      <w:proofErr w:type="gramStart"/>
      <w:r w:rsidRPr="005D316E">
        <w:rPr>
          <w:sz w:val="24"/>
          <w:szCs w:val="24"/>
        </w:rPr>
        <w:t>fortalecer</w:t>
      </w:r>
      <w:proofErr w:type="gramEnd"/>
      <w:r w:rsidRPr="005D316E">
        <w:rPr>
          <w:sz w:val="24"/>
          <w:szCs w:val="24"/>
        </w:rPr>
        <w:t xml:space="preserve"> os controles internos da gestão, contribuindo para a melhoria dos processos e do desempenho institucional.</w:t>
      </w:r>
      <w:r>
        <w:rPr>
          <w:sz w:val="24"/>
          <w:szCs w:val="24"/>
        </w:rPr>
        <w:t xml:space="preserve"> </w:t>
      </w:r>
    </w:p>
    <w:p w14:paraId="1B6FB517" w14:textId="77777777" w:rsidR="00FD7D45" w:rsidRDefault="00FD7D45" w:rsidP="00FD7D45">
      <w:pPr>
        <w:spacing w:before="60" w:after="120" w:line="360" w:lineRule="auto"/>
        <w:ind w:firstLine="720"/>
        <w:jc w:val="both"/>
        <w:rPr>
          <w:sz w:val="24"/>
          <w:szCs w:val="24"/>
        </w:rPr>
      </w:pPr>
      <w:r>
        <w:rPr>
          <w:sz w:val="24"/>
          <w:szCs w:val="24"/>
        </w:rPr>
        <w:t xml:space="preserve">Para o atingir esses objetivos, sugere-se que a gestão de riscos seja realizada com medidas simples, aprimoramentos constantes e relevantes, aprendizado e </w:t>
      </w:r>
      <w:proofErr w:type="spellStart"/>
      <w:r>
        <w:rPr>
          <w:sz w:val="24"/>
          <w:szCs w:val="24"/>
        </w:rPr>
        <w:t>experência</w:t>
      </w:r>
      <w:proofErr w:type="spellEnd"/>
      <w:r>
        <w:rPr>
          <w:sz w:val="24"/>
          <w:szCs w:val="24"/>
        </w:rPr>
        <w:t>, para ter chances mais altas de sucesso.</w:t>
      </w:r>
    </w:p>
    <w:p w14:paraId="2782E868" w14:textId="77777777" w:rsidR="00FD7D45" w:rsidRDefault="00FD7D45" w:rsidP="00FD7D45">
      <w:pPr>
        <w:spacing w:before="60" w:after="120" w:line="360" w:lineRule="auto"/>
        <w:ind w:firstLine="720"/>
        <w:jc w:val="both"/>
        <w:rPr>
          <w:color w:val="2D74B5"/>
          <w:sz w:val="28"/>
          <w:szCs w:val="28"/>
        </w:rPr>
      </w:pPr>
      <w:r>
        <w:rPr>
          <w:color w:val="2D74B5"/>
        </w:rPr>
        <w:br w:type="page"/>
      </w:r>
    </w:p>
    <w:p w14:paraId="641AA855" w14:textId="77777777" w:rsidR="00FD7D45" w:rsidRPr="00A859AF" w:rsidRDefault="00FD7D45" w:rsidP="00586858">
      <w:pPr>
        <w:pStyle w:val="Ttulo1"/>
        <w:numPr>
          <w:ilvl w:val="0"/>
          <w:numId w:val="4"/>
        </w:numPr>
        <w:spacing w:before="120" w:after="120"/>
        <w:rPr>
          <w:rFonts w:asciiTheme="minorHAnsi" w:hAnsiTheme="minorHAnsi" w:cstheme="minorHAnsi"/>
          <w:b/>
          <w:bCs/>
          <w:sz w:val="24"/>
          <w:szCs w:val="24"/>
        </w:rPr>
      </w:pPr>
      <w:bookmarkStart w:id="3" w:name="_TOC_250007"/>
      <w:bookmarkStart w:id="4" w:name="_Toc74468850"/>
      <w:bookmarkEnd w:id="3"/>
      <w:r w:rsidRPr="00A859AF">
        <w:rPr>
          <w:rFonts w:asciiTheme="minorHAnsi" w:hAnsiTheme="minorHAnsi" w:cstheme="minorHAnsi"/>
          <w:b/>
          <w:bCs/>
          <w:sz w:val="24"/>
          <w:szCs w:val="24"/>
        </w:rPr>
        <w:t>FUNDAMENTOS DA GESTÃO DE RISCOS</w:t>
      </w:r>
      <w:bookmarkEnd w:id="4"/>
    </w:p>
    <w:p w14:paraId="6DB8BAD0" w14:textId="77777777" w:rsidR="00FD7D45" w:rsidRDefault="00FD7D45" w:rsidP="00FD7D45">
      <w:pPr>
        <w:spacing w:before="60" w:after="120" w:line="360" w:lineRule="auto"/>
        <w:ind w:firstLine="720"/>
        <w:jc w:val="both"/>
        <w:rPr>
          <w:color w:val="000000" w:themeColor="text1"/>
          <w:sz w:val="24"/>
          <w:szCs w:val="24"/>
        </w:rPr>
      </w:pPr>
    </w:p>
    <w:p w14:paraId="62E3BA04" w14:textId="77777777" w:rsidR="00FD7D45" w:rsidRDefault="00FD7D45" w:rsidP="00FD7D45">
      <w:pPr>
        <w:spacing w:before="60" w:after="120" w:line="360" w:lineRule="auto"/>
        <w:ind w:firstLine="720"/>
        <w:jc w:val="both"/>
        <w:rPr>
          <w:color w:val="000000" w:themeColor="text1"/>
          <w:sz w:val="24"/>
          <w:szCs w:val="24"/>
        </w:rPr>
      </w:pPr>
      <w:r>
        <w:rPr>
          <w:color w:val="000000" w:themeColor="text1"/>
          <w:sz w:val="24"/>
          <w:szCs w:val="24"/>
        </w:rPr>
        <w:t>A</w:t>
      </w:r>
      <w:r w:rsidRPr="009916CA">
        <w:rPr>
          <w:color w:val="000000" w:themeColor="text1"/>
          <w:sz w:val="24"/>
          <w:szCs w:val="24"/>
        </w:rPr>
        <w:t xml:space="preserve"> IN Conjunta nº 01</w:t>
      </w:r>
      <w:r>
        <w:rPr>
          <w:color w:val="000000" w:themeColor="text1"/>
          <w:sz w:val="24"/>
          <w:szCs w:val="24"/>
        </w:rPr>
        <w:t>/2016</w:t>
      </w:r>
      <w:r w:rsidRPr="009916CA">
        <w:rPr>
          <w:color w:val="000000" w:themeColor="text1"/>
          <w:sz w:val="24"/>
          <w:szCs w:val="24"/>
        </w:rPr>
        <w:t xml:space="preserve">, </w:t>
      </w:r>
      <w:r>
        <w:rPr>
          <w:color w:val="000000" w:themeColor="text1"/>
          <w:sz w:val="24"/>
          <w:szCs w:val="24"/>
        </w:rPr>
        <w:t>de 11 de maio de 2016, orienta e define que o</w:t>
      </w:r>
      <w:r w:rsidRPr="009916CA">
        <w:rPr>
          <w:color w:val="000000" w:themeColor="text1"/>
          <w:sz w:val="24"/>
          <w:szCs w:val="24"/>
        </w:rPr>
        <w:t>s órgãos e entidades do Poder Executivo federal deverão adotar medidas para a sistematização</w:t>
      </w:r>
      <w:r>
        <w:rPr>
          <w:color w:val="000000" w:themeColor="text1"/>
          <w:sz w:val="24"/>
          <w:szCs w:val="24"/>
        </w:rPr>
        <w:t xml:space="preserve"> </w:t>
      </w:r>
      <w:r w:rsidRPr="009916CA">
        <w:rPr>
          <w:color w:val="000000" w:themeColor="text1"/>
          <w:sz w:val="24"/>
          <w:szCs w:val="24"/>
        </w:rPr>
        <w:t>de práticas relacionadas à gestão de riscos, aos controles internos, e à governança.</w:t>
      </w:r>
    </w:p>
    <w:p w14:paraId="5564206A" w14:textId="77777777" w:rsidR="00FD7D45" w:rsidRPr="00B03839" w:rsidRDefault="00FD7D45" w:rsidP="00FD7D45">
      <w:pPr>
        <w:spacing w:before="60" w:after="120" w:line="360" w:lineRule="auto"/>
        <w:ind w:firstLine="720"/>
        <w:jc w:val="both"/>
        <w:rPr>
          <w:color w:val="000000" w:themeColor="text1"/>
          <w:sz w:val="24"/>
          <w:szCs w:val="24"/>
        </w:rPr>
      </w:pPr>
      <w:r w:rsidRPr="00B03839">
        <w:rPr>
          <w:color w:val="000000" w:themeColor="text1"/>
          <w:sz w:val="24"/>
          <w:szCs w:val="24"/>
        </w:rPr>
        <w:t>O Decreto nº 9.203, de 22 de novembro de 2017, prevê em seu art. 17, que a alta administração das organizações da administração pública federal direta, deverá estabelecer, manter, monitorar e aprimorar sistema de gestão de riscos e controles internos com vistas à identificação, à avaliação, ao tratamento, ao monitoramento e à análise crítica de riscos que possam impactar a implementação da estratégia e a consecução dos objetivos da organização no cumprimento da sua missão institucional.</w:t>
      </w:r>
    </w:p>
    <w:p w14:paraId="7D3C7119" w14:textId="71417D9F" w:rsidR="00FD7D45" w:rsidRDefault="00FD7D45" w:rsidP="00FD7D45">
      <w:pPr>
        <w:spacing w:before="60" w:after="120" w:line="360" w:lineRule="auto"/>
        <w:ind w:firstLine="720"/>
        <w:jc w:val="both"/>
        <w:rPr>
          <w:color w:val="000000" w:themeColor="text1"/>
          <w:sz w:val="24"/>
          <w:szCs w:val="24"/>
        </w:rPr>
      </w:pPr>
      <w:r w:rsidRPr="00B03839">
        <w:rPr>
          <w:color w:val="000000" w:themeColor="text1"/>
          <w:sz w:val="24"/>
          <w:szCs w:val="24"/>
        </w:rPr>
        <w:t xml:space="preserve">Nisso, a Gestão de Riscos do Ministério da Saúde busca o alinhamento com a legislação </w:t>
      </w:r>
      <w:r>
        <w:rPr>
          <w:color w:val="000000" w:themeColor="text1"/>
          <w:sz w:val="24"/>
          <w:szCs w:val="24"/>
        </w:rPr>
        <w:t xml:space="preserve">e normas </w:t>
      </w:r>
      <w:r w:rsidRPr="00B03839">
        <w:rPr>
          <w:color w:val="000000" w:themeColor="text1"/>
          <w:sz w:val="24"/>
          <w:szCs w:val="24"/>
        </w:rPr>
        <w:t>afeta</w:t>
      </w:r>
      <w:r>
        <w:rPr>
          <w:color w:val="000000" w:themeColor="text1"/>
          <w:sz w:val="24"/>
          <w:szCs w:val="24"/>
        </w:rPr>
        <w:t>s</w:t>
      </w:r>
      <w:r w:rsidRPr="00B03839">
        <w:rPr>
          <w:color w:val="000000" w:themeColor="text1"/>
          <w:sz w:val="24"/>
          <w:szCs w:val="24"/>
        </w:rPr>
        <w:t xml:space="preserve"> ao tema</w:t>
      </w:r>
      <w:r>
        <w:rPr>
          <w:color w:val="000000" w:themeColor="text1"/>
          <w:sz w:val="24"/>
          <w:szCs w:val="24"/>
        </w:rPr>
        <w:t>, a</w:t>
      </w:r>
      <w:r w:rsidRPr="00597BD7">
        <w:rPr>
          <w:sz w:val="24"/>
          <w:szCs w:val="24"/>
        </w:rPr>
        <w:t>o Plano Nacional de Saúde (PNS) / Plano Plurianual (PPA)</w:t>
      </w:r>
      <w:r w:rsidRPr="00AE2DF1">
        <w:rPr>
          <w:color w:val="FF0000"/>
          <w:sz w:val="24"/>
          <w:szCs w:val="24"/>
        </w:rPr>
        <w:t xml:space="preserve"> </w:t>
      </w:r>
      <w:r w:rsidRPr="00B03839">
        <w:rPr>
          <w:color w:val="000000" w:themeColor="text1"/>
          <w:sz w:val="24"/>
          <w:szCs w:val="24"/>
        </w:rPr>
        <w:t xml:space="preserve">e aos principais </w:t>
      </w:r>
      <w:r w:rsidRPr="00B03839">
        <w:rPr>
          <w:i/>
          <w:iCs/>
          <w:color w:val="000000" w:themeColor="text1"/>
          <w:sz w:val="24"/>
          <w:szCs w:val="24"/>
        </w:rPr>
        <w:t>frameworks</w:t>
      </w:r>
      <w:r w:rsidRPr="00B03839">
        <w:rPr>
          <w:color w:val="000000" w:themeColor="text1"/>
          <w:sz w:val="24"/>
          <w:szCs w:val="24"/>
        </w:rPr>
        <w:t xml:space="preserve"> disponíveis e aplicáveis à administração pública.</w:t>
      </w:r>
    </w:p>
    <w:p w14:paraId="12CBD02F" w14:textId="77777777" w:rsidR="00FD7D45" w:rsidRDefault="00FD7D45" w:rsidP="00FD7D45">
      <w:pPr>
        <w:spacing w:before="60" w:after="120" w:line="360" w:lineRule="auto"/>
        <w:ind w:firstLine="720"/>
        <w:jc w:val="both"/>
        <w:rPr>
          <w:color w:val="2D74B5"/>
        </w:rPr>
      </w:pPr>
    </w:p>
    <w:p w14:paraId="2FFE578B" w14:textId="77777777" w:rsidR="00FD7D45" w:rsidRPr="00C94884" w:rsidRDefault="00FD7D45" w:rsidP="00FD7D45">
      <w:pPr>
        <w:pStyle w:val="Ttulo1"/>
        <w:spacing w:before="120" w:after="120"/>
        <w:ind w:left="357" w:hanging="357"/>
        <w:rPr>
          <w:rFonts w:ascii="Calibri" w:hAnsi="Calibri" w:cs="Calibri"/>
          <w:sz w:val="26"/>
          <w:szCs w:val="26"/>
        </w:rPr>
      </w:pPr>
      <w:bookmarkStart w:id="5" w:name="_Toc74468851"/>
      <w:r w:rsidRPr="00C94884">
        <w:rPr>
          <w:rFonts w:ascii="Calibri" w:hAnsi="Calibri" w:cs="Calibri"/>
          <w:sz w:val="26"/>
          <w:szCs w:val="26"/>
        </w:rPr>
        <w:t xml:space="preserve">3.1 </w:t>
      </w:r>
      <w:r w:rsidRPr="00C94884">
        <w:rPr>
          <w:rFonts w:ascii="Calibri" w:hAnsi="Calibri" w:cs="Calibri"/>
          <w:color w:val="000000" w:themeColor="text1"/>
          <w:sz w:val="26"/>
          <w:szCs w:val="26"/>
        </w:rPr>
        <w:t>Norma ABNT NBR</w:t>
      </w:r>
      <w:r w:rsidRPr="00C94884">
        <w:rPr>
          <w:rFonts w:ascii="Calibri" w:hAnsi="Calibri" w:cs="Calibri"/>
          <w:sz w:val="26"/>
          <w:szCs w:val="26"/>
        </w:rPr>
        <w:t xml:space="preserve"> ISO 31000:2018</w:t>
      </w:r>
      <w:bookmarkEnd w:id="5"/>
    </w:p>
    <w:p w14:paraId="4B713960" w14:textId="77777777" w:rsidR="00FD7D45" w:rsidRDefault="00FD7D45" w:rsidP="00FD7D45">
      <w:pPr>
        <w:spacing w:before="60" w:after="120" w:line="360" w:lineRule="auto"/>
        <w:ind w:firstLine="720"/>
        <w:jc w:val="both"/>
        <w:rPr>
          <w:color w:val="000000" w:themeColor="text1"/>
          <w:sz w:val="24"/>
          <w:szCs w:val="24"/>
        </w:rPr>
      </w:pPr>
    </w:p>
    <w:p w14:paraId="51B2F576" w14:textId="77777777" w:rsidR="00FD7D45" w:rsidRPr="00B03839" w:rsidRDefault="00FD7D45" w:rsidP="00FD7D45">
      <w:pPr>
        <w:spacing w:before="60" w:after="120" w:line="360" w:lineRule="auto"/>
        <w:ind w:firstLine="720"/>
        <w:jc w:val="both"/>
        <w:rPr>
          <w:color w:val="000000" w:themeColor="text1"/>
          <w:sz w:val="24"/>
          <w:szCs w:val="24"/>
        </w:rPr>
      </w:pPr>
      <w:r w:rsidRPr="00B03839">
        <w:rPr>
          <w:color w:val="000000" w:themeColor="text1"/>
          <w:sz w:val="24"/>
          <w:szCs w:val="24"/>
        </w:rPr>
        <w:t>Segundo a Norma ABNT NBR ISO 31000:2018, a eficácia da gestão de riscos dependerá da sua integração na governança e em todas as atividades da organização, incluindo a tomada de decisão. Isto requer apoio das partes interessadas, em particular da alta administração.</w:t>
      </w:r>
    </w:p>
    <w:p w14:paraId="597F84AF" w14:textId="77777777" w:rsidR="00FD7D45" w:rsidRPr="00B03839" w:rsidRDefault="00FD7D45" w:rsidP="00FD7D45">
      <w:pPr>
        <w:spacing w:before="60" w:after="120" w:line="360" w:lineRule="auto"/>
        <w:ind w:firstLine="720"/>
        <w:jc w:val="both"/>
        <w:rPr>
          <w:color w:val="000000" w:themeColor="text1"/>
          <w:sz w:val="24"/>
          <w:szCs w:val="24"/>
        </w:rPr>
      </w:pPr>
      <w:r w:rsidRPr="00B03839">
        <w:rPr>
          <w:color w:val="000000" w:themeColor="text1"/>
          <w:sz w:val="24"/>
          <w:szCs w:val="24"/>
        </w:rPr>
        <w:t>Prevê, também, que a implementação da estrutura de gestão de riscos deve ocorrer por meio de: (a) desenvolvimento de um plano apropriado, incluindo prazos e recursos; (b) identificação de onde, quando e como diferentes tipos de decisões são tomadas pela organização, e por quem; (c) modificação dos processos de tomada de decisão aplicáveis, onde necessário; (d) garantia de que os arranjos da organização para gerenciar riscos sejam claramente compreendidos e praticados.</w:t>
      </w:r>
    </w:p>
    <w:p w14:paraId="0C121F18" w14:textId="77777777" w:rsidR="00FD7D45" w:rsidRDefault="00FD7D45" w:rsidP="00FD7D45">
      <w:pPr>
        <w:spacing w:before="60" w:after="120" w:line="360" w:lineRule="auto"/>
        <w:ind w:firstLine="720"/>
        <w:jc w:val="both"/>
        <w:rPr>
          <w:color w:val="000000" w:themeColor="text1"/>
          <w:sz w:val="24"/>
          <w:szCs w:val="24"/>
        </w:rPr>
      </w:pPr>
      <w:r w:rsidRPr="00B03839">
        <w:rPr>
          <w:color w:val="000000" w:themeColor="text1"/>
          <w:sz w:val="24"/>
          <w:szCs w:val="24"/>
        </w:rPr>
        <w:t>A implementação bem-sucedida requer o engajamento e a conscientização das partes interessadas. Isso permite que as organizações abordem explicitamente a incerteza na tomada de decisão, enquanto também asseguram que qualquer incerteza nova ou posterior possa ser levada em consideração à medida que ela surja.</w:t>
      </w:r>
    </w:p>
    <w:p w14:paraId="2E3F9650" w14:textId="554D234E" w:rsidR="00FD7D45" w:rsidRDefault="00FD7D45" w:rsidP="00FD7D45">
      <w:pPr>
        <w:spacing w:before="60" w:after="120" w:line="360" w:lineRule="auto"/>
        <w:ind w:firstLine="720"/>
        <w:jc w:val="both"/>
        <w:rPr>
          <w:sz w:val="24"/>
          <w:szCs w:val="24"/>
        </w:rPr>
      </w:pPr>
      <w:r>
        <w:rPr>
          <w:sz w:val="24"/>
          <w:szCs w:val="24"/>
        </w:rPr>
        <w:t>E</w:t>
      </w:r>
      <w:r w:rsidRPr="006F2D5F">
        <w:rPr>
          <w:sz w:val="24"/>
          <w:szCs w:val="24"/>
        </w:rPr>
        <w:t xml:space="preserve">ssa Norma, </w:t>
      </w:r>
      <w:r>
        <w:rPr>
          <w:sz w:val="24"/>
          <w:szCs w:val="24"/>
        </w:rPr>
        <w:t xml:space="preserve">no aspecto liderança e comprometimento, registra a necessidade de alocar recursos para gerenciar os riscos, atribuir autoridade, responsabilidades e </w:t>
      </w:r>
      <w:r w:rsidR="0081087C">
        <w:rPr>
          <w:sz w:val="24"/>
          <w:szCs w:val="24"/>
        </w:rPr>
        <w:t>responsabilização</w:t>
      </w:r>
      <w:r>
        <w:rPr>
          <w:sz w:val="24"/>
          <w:szCs w:val="24"/>
        </w:rPr>
        <w:t xml:space="preserve"> nos níveis apropriados dentro da organização. Isto ajudará assegurar que a estrutura de gestão de riscos permaneça apropriada ao contexto da organização e contribui para o monitoramento </w:t>
      </w:r>
      <w:r w:rsidR="0081087C">
        <w:rPr>
          <w:sz w:val="24"/>
          <w:szCs w:val="24"/>
        </w:rPr>
        <w:t>sistemático</w:t>
      </w:r>
      <w:r>
        <w:rPr>
          <w:sz w:val="24"/>
          <w:szCs w:val="24"/>
        </w:rPr>
        <w:t xml:space="preserve"> dos riscos.</w:t>
      </w:r>
    </w:p>
    <w:p w14:paraId="5876568C" w14:textId="46D790D4" w:rsidR="00FD7D45" w:rsidRDefault="00FD7D45" w:rsidP="00FD7D45">
      <w:pPr>
        <w:spacing w:before="60" w:after="120" w:line="360" w:lineRule="auto"/>
        <w:ind w:firstLine="720"/>
        <w:jc w:val="both"/>
        <w:rPr>
          <w:sz w:val="24"/>
          <w:szCs w:val="24"/>
        </w:rPr>
      </w:pPr>
      <w:r>
        <w:rPr>
          <w:sz w:val="24"/>
          <w:szCs w:val="24"/>
        </w:rPr>
        <w:t>No aspecto processo, a</w:t>
      </w:r>
      <w:r w:rsidRPr="00622B0F">
        <w:rPr>
          <w:sz w:val="24"/>
          <w:szCs w:val="24"/>
        </w:rPr>
        <w:t xml:space="preserve"> gestão de riscos envolve a aplicação sistemática de políticas, procedimentos e práticas</w:t>
      </w:r>
      <w:r>
        <w:rPr>
          <w:sz w:val="24"/>
          <w:szCs w:val="24"/>
        </w:rPr>
        <w:t xml:space="preserve"> </w:t>
      </w:r>
      <w:r w:rsidRPr="00622B0F">
        <w:rPr>
          <w:sz w:val="24"/>
          <w:szCs w:val="24"/>
        </w:rPr>
        <w:t>para as atividades de comunicação e consulta, estabelecimento do contexto e avaliação</w:t>
      </w:r>
      <w:r>
        <w:rPr>
          <w:sz w:val="24"/>
          <w:szCs w:val="24"/>
        </w:rPr>
        <w:t xml:space="preserve"> (identificação, análise e avaliação dos riscos)</w:t>
      </w:r>
      <w:r w:rsidRPr="00622B0F">
        <w:rPr>
          <w:sz w:val="24"/>
          <w:szCs w:val="24"/>
        </w:rPr>
        <w:t>, tratamento,</w:t>
      </w:r>
      <w:r w:rsidRPr="006F2D5F">
        <w:rPr>
          <w:sz w:val="24"/>
          <w:szCs w:val="24"/>
        </w:rPr>
        <w:t xml:space="preserve"> monitoramento e</w:t>
      </w:r>
      <w:r>
        <w:rPr>
          <w:sz w:val="24"/>
          <w:szCs w:val="24"/>
        </w:rPr>
        <w:t xml:space="preserve"> análise crítica</w:t>
      </w:r>
      <w:r w:rsidRPr="006F2D5F">
        <w:rPr>
          <w:sz w:val="24"/>
          <w:szCs w:val="24"/>
        </w:rPr>
        <w:t>, por fim, registro e relato dos riscos</w:t>
      </w:r>
      <w:r>
        <w:rPr>
          <w:sz w:val="24"/>
          <w:szCs w:val="24"/>
        </w:rPr>
        <w:t>. A figura abaixo ilustra o processo:</w:t>
      </w:r>
    </w:p>
    <w:p w14:paraId="1F5B907B" w14:textId="77777777" w:rsidR="00A61398" w:rsidRDefault="00A61398" w:rsidP="00A61398">
      <w:pPr>
        <w:spacing w:before="60" w:after="120" w:line="360" w:lineRule="auto"/>
        <w:ind w:left="12" w:firstLine="708"/>
        <w:jc w:val="both"/>
        <w:rPr>
          <w:sz w:val="24"/>
          <w:szCs w:val="24"/>
        </w:rPr>
      </w:pPr>
      <w:r>
        <w:rPr>
          <w:sz w:val="24"/>
          <w:szCs w:val="24"/>
        </w:rPr>
        <w:t xml:space="preserve">                                    </w:t>
      </w:r>
      <w:r w:rsidRPr="00CB3DDF">
        <w:rPr>
          <w:sz w:val="24"/>
          <w:szCs w:val="24"/>
        </w:rPr>
        <w:t xml:space="preserve">Figura </w:t>
      </w:r>
      <w:r>
        <w:rPr>
          <w:sz w:val="24"/>
          <w:szCs w:val="24"/>
        </w:rPr>
        <w:t>1</w:t>
      </w:r>
      <w:r w:rsidRPr="00CB3DDF">
        <w:rPr>
          <w:sz w:val="24"/>
          <w:szCs w:val="24"/>
        </w:rPr>
        <w:t xml:space="preserve"> – Processo</w:t>
      </w:r>
      <w:r>
        <w:rPr>
          <w:sz w:val="24"/>
          <w:szCs w:val="24"/>
        </w:rPr>
        <w:t xml:space="preserve"> (Fonte: ISO 31000:2018)</w:t>
      </w:r>
    </w:p>
    <w:p w14:paraId="4EE330BE" w14:textId="77777777" w:rsidR="00FD7D45" w:rsidRDefault="00FD7D45" w:rsidP="00FD7D45">
      <w:pPr>
        <w:spacing w:before="60" w:after="120" w:line="360" w:lineRule="auto"/>
        <w:ind w:firstLine="720"/>
        <w:jc w:val="center"/>
        <w:rPr>
          <w:sz w:val="24"/>
          <w:szCs w:val="24"/>
        </w:rPr>
      </w:pPr>
      <w:r>
        <w:rPr>
          <w:noProof/>
        </w:rPr>
        <w:drawing>
          <wp:inline distT="0" distB="0" distL="0" distR="0" wp14:anchorId="09BB40D0" wp14:editId="6EBBD041">
            <wp:extent cx="3801745" cy="383032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801745" cy="3830320"/>
                    </a:xfrm>
                    <a:prstGeom prst="rect">
                      <a:avLst/>
                    </a:prstGeom>
                    <a:noFill/>
                    <a:ln>
                      <a:noFill/>
                    </a:ln>
                  </pic:spPr>
                </pic:pic>
              </a:graphicData>
            </a:graphic>
          </wp:inline>
        </w:drawing>
      </w:r>
    </w:p>
    <w:p w14:paraId="19C54093" w14:textId="77777777" w:rsidR="00FD7D45" w:rsidRDefault="00FD7D45" w:rsidP="00FD7D45">
      <w:pPr>
        <w:spacing w:before="60" w:after="120" w:line="360" w:lineRule="auto"/>
        <w:ind w:firstLine="720"/>
        <w:jc w:val="both"/>
        <w:rPr>
          <w:sz w:val="24"/>
          <w:szCs w:val="24"/>
        </w:rPr>
      </w:pPr>
    </w:p>
    <w:p w14:paraId="3F4B128E" w14:textId="4BC17DF3" w:rsidR="00FD7D45" w:rsidRDefault="00FD7D45" w:rsidP="00FD7D45">
      <w:pPr>
        <w:spacing w:before="60" w:after="120" w:line="360" w:lineRule="auto"/>
        <w:jc w:val="both"/>
        <w:rPr>
          <w:sz w:val="24"/>
          <w:szCs w:val="24"/>
        </w:rPr>
      </w:pPr>
      <w:r w:rsidRPr="00EA2C1E">
        <w:rPr>
          <w:b/>
          <w:bCs/>
          <w:sz w:val="24"/>
          <w:szCs w:val="24"/>
        </w:rPr>
        <w:t>Comunicação e consulta</w:t>
      </w:r>
      <w:r>
        <w:rPr>
          <w:sz w:val="24"/>
          <w:szCs w:val="24"/>
        </w:rPr>
        <w:t>: auxilia as partes interessadas na compreensão do risco. A comunicação busca promover a conscientização e o entendimento do risco, enquanto a consulta envolve obter retorno e informação auxiliar à tomada de decisão.</w:t>
      </w:r>
    </w:p>
    <w:p w14:paraId="3E13B28B" w14:textId="77777777" w:rsidR="00FD7D45" w:rsidRDefault="00FD7D45" w:rsidP="00FD7D45">
      <w:pPr>
        <w:spacing w:before="60" w:after="120" w:line="360" w:lineRule="auto"/>
        <w:jc w:val="both"/>
        <w:rPr>
          <w:sz w:val="24"/>
          <w:szCs w:val="24"/>
        </w:rPr>
      </w:pPr>
      <w:r w:rsidRPr="00EA2C1E">
        <w:rPr>
          <w:b/>
          <w:bCs/>
          <w:sz w:val="24"/>
          <w:szCs w:val="24"/>
        </w:rPr>
        <w:t>Escopo, contexto e critério</w:t>
      </w:r>
      <w:r>
        <w:rPr>
          <w:sz w:val="24"/>
          <w:szCs w:val="24"/>
        </w:rPr>
        <w:t xml:space="preserve">: o </w:t>
      </w:r>
      <w:r w:rsidRPr="00EA2C1E">
        <w:rPr>
          <w:sz w:val="24"/>
          <w:szCs w:val="24"/>
        </w:rPr>
        <w:t>propósito é personalizar o processo de gestão</w:t>
      </w:r>
      <w:r>
        <w:rPr>
          <w:sz w:val="24"/>
          <w:szCs w:val="24"/>
        </w:rPr>
        <w:t xml:space="preserve"> </w:t>
      </w:r>
      <w:r w:rsidRPr="00EA2C1E">
        <w:rPr>
          <w:sz w:val="24"/>
          <w:szCs w:val="24"/>
        </w:rPr>
        <w:t>de riscos, permitindo um processo de avaliação de riscos eficaz e um tratamento de riscos apropriado</w:t>
      </w:r>
      <w:r>
        <w:rPr>
          <w:sz w:val="24"/>
          <w:szCs w:val="24"/>
        </w:rPr>
        <w:t xml:space="preserve">, compreendendo os </w:t>
      </w:r>
      <w:r w:rsidRPr="00EA2C1E">
        <w:rPr>
          <w:sz w:val="24"/>
          <w:szCs w:val="24"/>
        </w:rPr>
        <w:t>contextos externo e interno</w:t>
      </w:r>
      <w:r>
        <w:rPr>
          <w:sz w:val="24"/>
          <w:szCs w:val="24"/>
        </w:rPr>
        <w:t>.</w:t>
      </w:r>
    </w:p>
    <w:p w14:paraId="14B559FD" w14:textId="19AAB4EE" w:rsidR="00FD7D45" w:rsidRDefault="00FD7D45" w:rsidP="00FD7D45">
      <w:pPr>
        <w:spacing w:before="60" w:after="120" w:line="360" w:lineRule="auto"/>
        <w:jc w:val="both"/>
        <w:rPr>
          <w:sz w:val="24"/>
          <w:szCs w:val="24"/>
        </w:rPr>
      </w:pPr>
      <w:r w:rsidRPr="00EA2C1E">
        <w:rPr>
          <w:b/>
          <w:bCs/>
          <w:sz w:val="24"/>
          <w:szCs w:val="24"/>
        </w:rPr>
        <w:t>Processo de avaliação de riscos</w:t>
      </w:r>
      <w:r>
        <w:rPr>
          <w:sz w:val="24"/>
          <w:szCs w:val="24"/>
        </w:rPr>
        <w:t>: contempla a</w:t>
      </w:r>
      <w:r w:rsidRPr="00EA2C1E">
        <w:rPr>
          <w:sz w:val="24"/>
          <w:szCs w:val="24"/>
        </w:rPr>
        <w:t xml:space="preserve"> identificação, </w:t>
      </w:r>
      <w:r>
        <w:rPr>
          <w:sz w:val="24"/>
          <w:szCs w:val="24"/>
        </w:rPr>
        <w:t xml:space="preserve">a </w:t>
      </w:r>
      <w:r w:rsidRPr="00EA2C1E">
        <w:rPr>
          <w:sz w:val="24"/>
          <w:szCs w:val="24"/>
        </w:rPr>
        <w:t xml:space="preserve">análise </w:t>
      </w:r>
      <w:r>
        <w:rPr>
          <w:sz w:val="24"/>
          <w:szCs w:val="24"/>
        </w:rPr>
        <w:t>e a</w:t>
      </w:r>
      <w:r w:rsidRPr="00EA2C1E">
        <w:rPr>
          <w:sz w:val="24"/>
          <w:szCs w:val="24"/>
        </w:rPr>
        <w:t xml:space="preserve"> avaliação de riscos</w:t>
      </w:r>
      <w:r>
        <w:rPr>
          <w:sz w:val="24"/>
          <w:szCs w:val="24"/>
        </w:rPr>
        <w:t>, sendo: (i) i</w:t>
      </w:r>
      <w:r w:rsidRPr="00EA2C1E">
        <w:rPr>
          <w:sz w:val="24"/>
          <w:szCs w:val="24"/>
        </w:rPr>
        <w:t>dentificação de riscos</w:t>
      </w:r>
      <w:r>
        <w:rPr>
          <w:sz w:val="24"/>
          <w:szCs w:val="24"/>
        </w:rPr>
        <w:t xml:space="preserve">: </w:t>
      </w:r>
      <w:r w:rsidRPr="00EA2C1E">
        <w:rPr>
          <w:sz w:val="24"/>
          <w:szCs w:val="24"/>
        </w:rPr>
        <w:t xml:space="preserve">encontrar, reconhecer e descrever </w:t>
      </w:r>
      <w:r>
        <w:rPr>
          <w:sz w:val="24"/>
          <w:szCs w:val="24"/>
        </w:rPr>
        <w:t xml:space="preserve">os </w:t>
      </w:r>
      <w:r w:rsidRPr="00EA2C1E">
        <w:rPr>
          <w:sz w:val="24"/>
          <w:szCs w:val="24"/>
        </w:rPr>
        <w:t>riscos que possam ajudar</w:t>
      </w:r>
      <w:r>
        <w:rPr>
          <w:sz w:val="24"/>
          <w:szCs w:val="24"/>
        </w:rPr>
        <w:t xml:space="preserve"> </w:t>
      </w:r>
      <w:r w:rsidRPr="00EA2C1E">
        <w:rPr>
          <w:sz w:val="24"/>
          <w:szCs w:val="24"/>
        </w:rPr>
        <w:t>ou impedir que uma organização alcance seus objetivos</w:t>
      </w:r>
      <w:r>
        <w:rPr>
          <w:sz w:val="24"/>
          <w:szCs w:val="24"/>
        </w:rPr>
        <w:t>; (</w:t>
      </w:r>
      <w:proofErr w:type="spellStart"/>
      <w:r>
        <w:rPr>
          <w:sz w:val="24"/>
          <w:szCs w:val="24"/>
        </w:rPr>
        <w:t>ii</w:t>
      </w:r>
      <w:proofErr w:type="spellEnd"/>
      <w:r>
        <w:rPr>
          <w:sz w:val="24"/>
          <w:szCs w:val="24"/>
        </w:rPr>
        <w:t xml:space="preserve">) </w:t>
      </w:r>
      <w:r w:rsidRPr="000A0D80">
        <w:rPr>
          <w:sz w:val="24"/>
          <w:szCs w:val="24"/>
        </w:rPr>
        <w:t>análise de riscos</w:t>
      </w:r>
      <w:r>
        <w:rPr>
          <w:sz w:val="24"/>
          <w:szCs w:val="24"/>
        </w:rPr>
        <w:t xml:space="preserve">: considera as </w:t>
      </w:r>
      <w:r w:rsidRPr="000A0D80">
        <w:rPr>
          <w:sz w:val="24"/>
          <w:szCs w:val="24"/>
        </w:rPr>
        <w:t>incertezas,</w:t>
      </w:r>
      <w:r>
        <w:rPr>
          <w:sz w:val="24"/>
          <w:szCs w:val="24"/>
        </w:rPr>
        <w:t xml:space="preserve"> </w:t>
      </w:r>
      <w:r w:rsidRPr="000A0D80">
        <w:rPr>
          <w:sz w:val="24"/>
          <w:szCs w:val="24"/>
        </w:rPr>
        <w:t>fontes de risco</w:t>
      </w:r>
      <w:r>
        <w:rPr>
          <w:sz w:val="24"/>
          <w:szCs w:val="24"/>
        </w:rPr>
        <w:t xml:space="preserve"> – causas</w:t>
      </w:r>
      <w:r w:rsidRPr="000A0D80">
        <w:rPr>
          <w:sz w:val="24"/>
          <w:szCs w:val="24"/>
        </w:rPr>
        <w:t>, consequências, probabilidade, eventos, cenários, controles e sua eficácia</w:t>
      </w:r>
      <w:r>
        <w:rPr>
          <w:sz w:val="24"/>
          <w:szCs w:val="24"/>
        </w:rPr>
        <w:t>; u</w:t>
      </w:r>
      <w:r w:rsidRPr="000A0D80">
        <w:rPr>
          <w:sz w:val="24"/>
          <w:szCs w:val="24"/>
        </w:rPr>
        <w:t xml:space="preserve">m </w:t>
      </w:r>
      <w:r>
        <w:rPr>
          <w:sz w:val="24"/>
          <w:szCs w:val="24"/>
        </w:rPr>
        <w:t xml:space="preserve">risco </w:t>
      </w:r>
      <w:r w:rsidRPr="000A0D80">
        <w:rPr>
          <w:sz w:val="24"/>
          <w:szCs w:val="24"/>
        </w:rPr>
        <w:t>pode ter múltiplas causas e consequências</w:t>
      </w:r>
      <w:r>
        <w:rPr>
          <w:sz w:val="24"/>
          <w:szCs w:val="24"/>
        </w:rPr>
        <w:t xml:space="preserve">, podendo </w:t>
      </w:r>
      <w:r w:rsidRPr="000A0D80">
        <w:rPr>
          <w:sz w:val="24"/>
          <w:szCs w:val="24"/>
        </w:rPr>
        <w:t>afetar múltiplos objetivos</w:t>
      </w:r>
      <w:r>
        <w:rPr>
          <w:sz w:val="24"/>
          <w:szCs w:val="24"/>
        </w:rPr>
        <w:t>; e (</w:t>
      </w:r>
      <w:proofErr w:type="spellStart"/>
      <w:r>
        <w:rPr>
          <w:sz w:val="24"/>
          <w:szCs w:val="24"/>
        </w:rPr>
        <w:t>iii</w:t>
      </w:r>
      <w:proofErr w:type="spellEnd"/>
      <w:r>
        <w:rPr>
          <w:sz w:val="24"/>
          <w:szCs w:val="24"/>
        </w:rPr>
        <w:t xml:space="preserve">) </w:t>
      </w:r>
      <w:r w:rsidRPr="000A0D80">
        <w:rPr>
          <w:sz w:val="24"/>
          <w:szCs w:val="24"/>
        </w:rPr>
        <w:t>avaliação de riscos</w:t>
      </w:r>
      <w:r>
        <w:rPr>
          <w:sz w:val="24"/>
          <w:szCs w:val="24"/>
        </w:rPr>
        <w:t xml:space="preserve">: </w:t>
      </w:r>
      <w:r w:rsidRPr="000A0D80">
        <w:rPr>
          <w:sz w:val="24"/>
          <w:szCs w:val="24"/>
        </w:rPr>
        <w:t>envolve a comparação</w:t>
      </w:r>
      <w:r>
        <w:rPr>
          <w:sz w:val="24"/>
          <w:szCs w:val="24"/>
        </w:rPr>
        <w:t xml:space="preserve"> </w:t>
      </w:r>
      <w:r w:rsidRPr="000A0D80">
        <w:rPr>
          <w:sz w:val="24"/>
          <w:szCs w:val="24"/>
        </w:rPr>
        <w:t>dos resultados da análise de riscos com os critérios de risco estabelecidos para determinar onde é</w:t>
      </w:r>
      <w:r>
        <w:rPr>
          <w:sz w:val="24"/>
          <w:szCs w:val="24"/>
        </w:rPr>
        <w:t xml:space="preserve"> </w:t>
      </w:r>
      <w:r w:rsidRPr="000A0D80">
        <w:rPr>
          <w:sz w:val="24"/>
          <w:szCs w:val="24"/>
        </w:rPr>
        <w:t xml:space="preserve">necessária ação </w:t>
      </w:r>
      <w:r>
        <w:rPr>
          <w:sz w:val="24"/>
          <w:szCs w:val="24"/>
        </w:rPr>
        <w:t xml:space="preserve">de resposta ao risco, realiza-se a avaliação utilizando a matriz de </w:t>
      </w:r>
      <w:r w:rsidR="00430D04">
        <w:rPr>
          <w:sz w:val="24"/>
          <w:szCs w:val="24"/>
        </w:rPr>
        <w:t>probabilidade</w:t>
      </w:r>
      <w:r>
        <w:rPr>
          <w:sz w:val="24"/>
          <w:szCs w:val="24"/>
        </w:rPr>
        <w:t xml:space="preserve"> x impacto.</w:t>
      </w:r>
    </w:p>
    <w:p w14:paraId="0C49EA13" w14:textId="4911D634" w:rsidR="00FD7D45" w:rsidRPr="005B431B" w:rsidRDefault="00FD7D45" w:rsidP="00FD7D45">
      <w:pPr>
        <w:spacing w:before="60" w:after="120" w:line="360" w:lineRule="auto"/>
        <w:jc w:val="both"/>
        <w:rPr>
          <w:sz w:val="24"/>
          <w:szCs w:val="24"/>
        </w:rPr>
      </w:pPr>
      <w:r w:rsidRPr="005B431B">
        <w:rPr>
          <w:b/>
          <w:bCs/>
          <w:sz w:val="24"/>
          <w:szCs w:val="24"/>
        </w:rPr>
        <w:t>Tratamento de riscos</w:t>
      </w:r>
      <w:r w:rsidRPr="005B431B">
        <w:rPr>
          <w:sz w:val="24"/>
          <w:szCs w:val="24"/>
        </w:rPr>
        <w:t>: consi</w:t>
      </w:r>
      <w:r w:rsidR="00971D2F">
        <w:rPr>
          <w:sz w:val="24"/>
          <w:szCs w:val="24"/>
        </w:rPr>
        <w:t>s</w:t>
      </w:r>
      <w:r w:rsidRPr="005B431B">
        <w:rPr>
          <w:sz w:val="24"/>
          <w:szCs w:val="24"/>
        </w:rPr>
        <w:t xml:space="preserve">te em selecionar e implementar ações para responder os riscos, considerando os benefícios potenciais relativos ao alcance dos objetivos, face aos custos, esforço ou desvantagens da implementação, e na elaboração de plano especificando as ações para responder os riscos, de maneira que sejam compreendidos pelos envolvidos, e permita o monitoramento. </w:t>
      </w:r>
    </w:p>
    <w:p w14:paraId="0AA57FFF" w14:textId="77777777" w:rsidR="00FD7D45" w:rsidRPr="005B431B" w:rsidRDefault="00FD7D45" w:rsidP="00FD7D45">
      <w:pPr>
        <w:spacing w:before="60" w:after="120" w:line="360" w:lineRule="auto"/>
        <w:jc w:val="both"/>
        <w:rPr>
          <w:sz w:val="24"/>
          <w:szCs w:val="24"/>
        </w:rPr>
      </w:pPr>
      <w:r w:rsidRPr="005B431B">
        <w:rPr>
          <w:b/>
          <w:bCs/>
          <w:sz w:val="24"/>
          <w:szCs w:val="24"/>
        </w:rPr>
        <w:t>Monitoramento e análise crítica</w:t>
      </w:r>
      <w:r w:rsidRPr="005B431B">
        <w:rPr>
          <w:sz w:val="24"/>
          <w:szCs w:val="24"/>
        </w:rPr>
        <w:t>: o propósito é assegurar e melhorar a qualidade e eficácia da concepção, implementação e dos resultados do processo de gestão de riscos, com responsabilidades claramente estabelecidas.</w:t>
      </w:r>
    </w:p>
    <w:p w14:paraId="0A2C09BF" w14:textId="77777777" w:rsidR="00FD7D45" w:rsidRPr="005B431B" w:rsidRDefault="00FD7D45" w:rsidP="00FD7D45">
      <w:pPr>
        <w:spacing w:before="60" w:after="120" w:line="360" w:lineRule="auto"/>
        <w:jc w:val="both"/>
        <w:rPr>
          <w:sz w:val="24"/>
          <w:szCs w:val="24"/>
        </w:rPr>
      </w:pPr>
      <w:r w:rsidRPr="005B431B">
        <w:rPr>
          <w:b/>
          <w:bCs/>
          <w:sz w:val="24"/>
          <w:szCs w:val="24"/>
        </w:rPr>
        <w:t>Registro do Relato</w:t>
      </w:r>
      <w:r w:rsidRPr="005B431B">
        <w:rPr>
          <w:sz w:val="24"/>
          <w:szCs w:val="24"/>
        </w:rPr>
        <w:t>: consiste em documentar e relatar o processo de gestão e riscos e os seus resultados, para fornecer informações à tomada de decisão, melhoria do processo, entre outros.</w:t>
      </w:r>
    </w:p>
    <w:p w14:paraId="4F5BA490" w14:textId="77777777" w:rsidR="00FD7D45" w:rsidRPr="00143388" w:rsidRDefault="00FD7D45" w:rsidP="00FD7D45">
      <w:pPr>
        <w:pStyle w:val="Ttulo1"/>
        <w:spacing w:before="120" w:after="120"/>
        <w:ind w:left="357" w:hanging="357"/>
        <w:rPr>
          <w:rFonts w:asciiTheme="minorHAnsi" w:hAnsiTheme="minorHAnsi" w:cstheme="minorHAnsi"/>
          <w:sz w:val="26"/>
          <w:szCs w:val="26"/>
        </w:rPr>
      </w:pPr>
      <w:bookmarkStart w:id="6" w:name="_Toc74468852"/>
      <w:r w:rsidRPr="00143388">
        <w:rPr>
          <w:rFonts w:asciiTheme="minorHAnsi" w:hAnsiTheme="minorHAnsi" w:cstheme="minorHAnsi"/>
          <w:sz w:val="26"/>
          <w:szCs w:val="26"/>
        </w:rPr>
        <w:t>3.2 COSO ERM 2017</w:t>
      </w:r>
      <w:bookmarkEnd w:id="6"/>
    </w:p>
    <w:p w14:paraId="09C50C0C" w14:textId="77777777" w:rsidR="00FD7D45" w:rsidRDefault="00FD7D45" w:rsidP="00FD7D45">
      <w:pPr>
        <w:spacing w:before="60" w:after="120" w:line="360" w:lineRule="auto"/>
        <w:ind w:firstLine="720"/>
        <w:jc w:val="both"/>
        <w:rPr>
          <w:color w:val="000000" w:themeColor="text1"/>
          <w:sz w:val="24"/>
          <w:szCs w:val="24"/>
        </w:rPr>
      </w:pPr>
    </w:p>
    <w:p w14:paraId="676BD2C4" w14:textId="77777777" w:rsidR="00FD7D45" w:rsidRPr="00B03839" w:rsidRDefault="00FD7D45" w:rsidP="00FD7D45">
      <w:pPr>
        <w:spacing w:before="60" w:after="120" w:line="360" w:lineRule="auto"/>
        <w:ind w:firstLine="720"/>
        <w:jc w:val="both"/>
        <w:rPr>
          <w:color w:val="000000" w:themeColor="text1"/>
          <w:sz w:val="24"/>
          <w:szCs w:val="24"/>
        </w:rPr>
      </w:pPr>
      <w:r w:rsidRPr="00B03839">
        <w:rPr>
          <w:color w:val="000000" w:themeColor="text1"/>
          <w:sz w:val="24"/>
          <w:szCs w:val="24"/>
        </w:rPr>
        <w:t>O COSO</w:t>
      </w:r>
      <w:r w:rsidRPr="00B03839">
        <w:rPr>
          <w:rStyle w:val="Refdenotaderodap"/>
          <w:color w:val="000000" w:themeColor="text1"/>
          <w:sz w:val="24"/>
          <w:szCs w:val="24"/>
        </w:rPr>
        <w:footnoteReference w:id="1"/>
      </w:r>
      <w:r w:rsidRPr="00B03839">
        <w:rPr>
          <w:color w:val="000000" w:themeColor="text1"/>
          <w:sz w:val="24"/>
          <w:szCs w:val="24"/>
        </w:rPr>
        <w:t xml:space="preserve"> 2017 é um dos principais modelos internacionais de referência em gestão de riscos aplicável às organizações públicas. De acordo com este modelo, o gerenciamento de riscos corporativos se baseia no desenvolvimento e manutenção de práticas alinhadas com as estratégias e objetivos das organizações, adaptadas, por sua vez, a ambientes de negócios</w:t>
      </w:r>
      <w:r>
        <w:rPr>
          <w:color w:val="000000" w:themeColor="text1"/>
          <w:sz w:val="24"/>
          <w:szCs w:val="24"/>
        </w:rPr>
        <w:t xml:space="preserve"> </w:t>
      </w:r>
      <w:r w:rsidRPr="00B03839">
        <w:rPr>
          <w:color w:val="000000" w:themeColor="text1"/>
          <w:sz w:val="24"/>
          <w:szCs w:val="24"/>
        </w:rPr>
        <w:t>cada vez mais complexos, globais e altamente dependentes de tecnologia.</w:t>
      </w:r>
    </w:p>
    <w:p w14:paraId="2E81A210" w14:textId="77777777" w:rsidR="00FD7D45" w:rsidRDefault="00FD7D45" w:rsidP="00FD7D45">
      <w:pPr>
        <w:spacing w:before="60" w:after="120" w:line="360" w:lineRule="auto"/>
        <w:ind w:firstLine="720"/>
        <w:jc w:val="both"/>
        <w:rPr>
          <w:color w:val="000000" w:themeColor="text1"/>
          <w:sz w:val="24"/>
          <w:szCs w:val="24"/>
        </w:rPr>
      </w:pPr>
      <w:r w:rsidRPr="00B03839">
        <w:rPr>
          <w:color w:val="000000" w:themeColor="text1"/>
          <w:sz w:val="24"/>
          <w:szCs w:val="24"/>
        </w:rPr>
        <w:t xml:space="preserve">Nesse sentido, </w:t>
      </w:r>
      <w:r>
        <w:rPr>
          <w:color w:val="000000" w:themeColor="text1"/>
          <w:sz w:val="24"/>
          <w:szCs w:val="24"/>
        </w:rPr>
        <w:t>as orientações do</w:t>
      </w:r>
      <w:r w:rsidRPr="00B03839">
        <w:rPr>
          <w:color w:val="000000" w:themeColor="text1"/>
          <w:sz w:val="24"/>
          <w:szCs w:val="24"/>
        </w:rPr>
        <w:t xml:space="preserve"> COSO 2017 ressalta</w:t>
      </w:r>
      <w:r>
        <w:rPr>
          <w:color w:val="000000" w:themeColor="text1"/>
          <w:sz w:val="24"/>
          <w:szCs w:val="24"/>
        </w:rPr>
        <w:t>m</w:t>
      </w:r>
      <w:r w:rsidRPr="00B03839">
        <w:rPr>
          <w:color w:val="000000" w:themeColor="text1"/>
          <w:sz w:val="24"/>
          <w:szCs w:val="24"/>
        </w:rPr>
        <w:t xml:space="preserve"> a importância de se considerar o risco tanto no processo de definição das estratégias como na melhoria da performance das organizações. Além disso, enfatiza</w:t>
      </w:r>
      <w:r>
        <w:rPr>
          <w:color w:val="000000" w:themeColor="text1"/>
          <w:sz w:val="24"/>
          <w:szCs w:val="24"/>
        </w:rPr>
        <w:t>m</w:t>
      </w:r>
      <w:r w:rsidRPr="00B03839">
        <w:rPr>
          <w:color w:val="000000" w:themeColor="text1"/>
          <w:sz w:val="24"/>
          <w:szCs w:val="24"/>
        </w:rPr>
        <w:t xml:space="preserve"> outros dois aspectos igualmente relevantes e que podem ter um grande efeito no valor da organização, quais sejam, a possibilidade de desalinhamento entre a estratégia e a missão, a visão e os valores fundamentais da organização, bem como as implicações da estratégia escolhida.</w:t>
      </w:r>
    </w:p>
    <w:p w14:paraId="3E331921" w14:textId="77777777" w:rsidR="00FD7D45" w:rsidRPr="009515E1" w:rsidRDefault="00FD7D45" w:rsidP="00FD7D45">
      <w:pPr>
        <w:spacing w:before="60" w:after="120" w:line="360" w:lineRule="auto"/>
        <w:ind w:firstLine="720"/>
        <w:jc w:val="both"/>
        <w:rPr>
          <w:sz w:val="24"/>
          <w:szCs w:val="24"/>
        </w:rPr>
      </w:pPr>
      <w:r w:rsidRPr="009515E1">
        <w:rPr>
          <w:sz w:val="24"/>
          <w:szCs w:val="24"/>
        </w:rPr>
        <w:t xml:space="preserve">A primeira parte da publicação </w:t>
      </w:r>
      <w:r>
        <w:rPr>
          <w:sz w:val="24"/>
          <w:szCs w:val="24"/>
        </w:rPr>
        <w:t xml:space="preserve">do COSO ERM 2017 </w:t>
      </w:r>
      <w:r w:rsidRPr="009515E1">
        <w:rPr>
          <w:sz w:val="24"/>
          <w:szCs w:val="24"/>
        </w:rPr>
        <w:t>oferece uma perspectiva dos conceitos atuais e em desenvolvimento</w:t>
      </w:r>
      <w:r>
        <w:rPr>
          <w:sz w:val="24"/>
          <w:szCs w:val="24"/>
        </w:rPr>
        <w:t>,</w:t>
      </w:r>
      <w:r w:rsidRPr="009515E1">
        <w:rPr>
          <w:sz w:val="24"/>
          <w:szCs w:val="24"/>
        </w:rPr>
        <w:t xml:space="preserve"> e </w:t>
      </w:r>
      <w:r>
        <w:rPr>
          <w:sz w:val="24"/>
          <w:szCs w:val="24"/>
        </w:rPr>
        <w:t xml:space="preserve">as </w:t>
      </w:r>
      <w:r w:rsidRPr="009515E1">
        <w:rPr>
          <w:sz w:val="24"/>
          <w:szCs w:val="24"/>
        </w:rPr>
        <w:t xml:space="preserve">aplicações do gerenciamento de riscos corporativos. A segunda parte oferece princípios organizados em 5 componentes inter-relacionados: </w:t>
      </w:r>
      <w:r>
        <w:rPr>
          <w:sz w:val="24"/>
          <w:szCs w:val="24"/>
        </w:rPr>
        <w:t>g</w:t>
      </w:r>
      <w:r w:rsidRPr="009515E1">
        <w:rPr>
          <w:sz w:val="24"/>
          <w:szCs w:val="24"/>
        </w:rPr>
        <w:t xml:space="preserve">overnança e cultura, </w:t>
      </w:r>
      <w:r>
        <w:rPr>
          <w:sz w:val="24"/>
          <w:szCs w:val="24"/>
        </w:rPr>
        <w:t>e</w:t>
      </w:r>
      <w:r w:rsidRPr="009515E1">
        <w:rPr>
          <w:sz w:val="24"/>
          <w:szCs w:val="24"/>
        </w:rPr>
        <w:t xml:space="preserve">stratégia e definição de objetivos, </w:t>
      </w:r>
      <w:r>
        <w:rPr>
          <w:sz w:val="24"/>
          <w:szCs w:val="24"/>
        </w:rPr>
        <w:t>p</w:t>
      </w:r>
      <w:r w:rsidRPr="009515E1">
        <w:rPr>
          <w:sz w:val="24"/>
          <w:szCs w:val="24"/>
        </w:rPr>
        <w:t xml:space="preserve">erformance, </w:t>
      </w:r>
      <w:r>
        <w:rPr>
          <w:sz w:val="24"/>
          <w:szCs w:val="24"/>
        </w:rPr>
        <w:t>m</w:t>
      </w:r>
      <w:r w:rsidRPr="009515E1">
        <w:rPr>
          <w:sz w:val="24"/>
          <w:szCs w:val="24"/>
        </w:rPr>
        <w:t xml:space="preserve">onitoramento do desempenho e revisão; e </w:t>
      </w:r>
      <w:r>
        <w:rPr>
          <w:sz w:val="24"/>
          <w:szCs w:val="24"/>
        </w:rPr>
        <w:t>por fim i</w:t>
      </w:r>
      <w:r w:rsidRPr="009515E1">
        <w:rPr>
          <w:sz w:val="24"/>
          <w:szCs w:val="24"/>
        </w:rPr>
        <w:t>nformação, comunicação e divulgação.</w:t>
      </w:r>
    </w:p>
    <w:p w14:paraId="4957CE3F" w14:textId="77777777" w:rsidR="00FD7D45" w:rsidRPr="009515E1" w:rsidRDefault="00FD7D45" w:rsidP="00FD7D45">
      <w:pPr>
        <w:spacing w:before="60" w:after="120" w:line="360" w:lineRule="auto"/>
        <w:ind w:firstLine="720"/>
        <w:jc w:val="both"/>
        <w:rPr>
          <w:sz w:val="24"/>
          <w:szCs w:val="24"/>
        </w:rPr>
      </w:pPr>
      <w:r w:rsidRPr="009515E1">
        <w:rPr>
          <w:sz w:val="24"/>
          <w:szCs w:val="24"/>
        </w:rPr>
        <w:t xml:space="preserve">Em resumo a atualização implementada no COSO 2017 contempla: </w:t>
      </w:r>
    </w:p>
    <w:p w14:paraId="489016C3" w14:textId="77777777" w:rsidR="00FD7D45" w:rsidRDefault="00FD7D45" w:rsidP="00FD7D45">
      <w:pPr>
        <w:spacing w:before="60" w:after="120" w:line="360" w:lineRule="auto"/>
        <w:rPr>
          <w:color w:val="FF0000"/>
          <w:sz w:val="24"/>
          <w:szCs w:val="24"/>
        </w:rPr>
      </w:pPr>
      <w:r>
        <w:rPr>
          <w:noProof/>
          <w:color w:val="FF0000"/>
          <w:sz w:val="24"/>
          <w:szCs w:val="24"/>
        </w:rPr>
        <w:drawing>
          <wp:inline distT="0" distB="0" distL="0" distR="0" wp14:anchorId="2237B375" wp14:editId="615B5E3C">
            <wp:extent cx="5721350" cy="3270250"/>
            <wp:effectExtent l="0" t="0" r="0" b="2540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AC60271" w14:textId="04128048" w:rsidR="00FD7D45" w:rsidRPr="009515E1" w:rsidRDefault="00FD7D45" w:rsidP="00FD7D45">
      <w:pPr>
        <w:spacing w:before="60" w:after="120" w:line="360" w:lineRule="auto"/>
        <w:ind w:firstLine="720"/>
        <w:jc w:val="both"/>
        <w:rPr>
          <w:sz w:val="24"/>
          <w:szCs w:val="24"/>
        </w:rPr>
      </w:pPr>
      <w:r w:rsidRPr="009515E1">
        <w:rPr>
          <w:sz w:val="24"/>
          <w:szCs w:val="24"/>
        </w:rPr>
        <w:t>Aderir a estas orientações pode conferir a organização uma razoável expectativa de que ela entend</w:t>
      </w:r>
      <w:r>
        <w:rPr>
          <w:sz w:val="24"/>
          <w:szCs w:val="24"/>
        </w:rPr>
        <w:t>a</w:t>
      </w:r>
      <w:r w:rsidRPr="009515E1">
        <w:rPr>
          <w:sz w:val="24"/>
          <w:szCs w:val="24"/>
        </w:rPr>
        <w:t xml:space="preserve"> e se esforça para gerenciar os riscos associados à sua estratégia e aos seus objetivos institucionais. As orientações do COSO 2017 registra</w:t>
      </w:r>
      <w:r>
        <w:rPr>
          <w:sz w:val="24"/>
          <w:szCs w:val="24"/>
        </w:rPr>
        <w:t>m</w:t>
      </w:r>
      <w:r w:rsidRPr="009515E1">
        <w:rPr>
          <w:sz w:val="24"/>
          <w:szCs w:val="24"/>
        </w:rPr>
        <w:t xml:space="preserve"> que quando se avalia riscos durante o processo de definição da estratégia e dos objetivos de uma organização,</w:t>
      </w:r>
      <w:r w:rsidR="0060739F">
        <w:rPr>
          <w:sz w:val="24"/>
          <w:szCs w:val="24"/>
        </w:rPr>
        <w:t xml:space="preserve"> </w:t>
      </w:r>
      <w:r w:rsidR="0060739F" w:rsidRPr="009515E1">
        <w:rPr>
          <w:sz w:val="24"/>
          <w:szCs w:val="24"/>
        </w:rPr>
        <w:t>o</w:t>
      </w:r>
      <w:r w:rsidR="0060739F">
        <w:rPr>
          <w:sz w:val="24"/>
          <w:szCs w:val="24"/>
        </w:rPr>
        <w:t xml:space="preserve"> </w:t>
      </w:r>
      <w:r w:rsidR="0060739F" w:rsidRPr="009515E1">
        <w:rPr>
          <w:sz w:val="24"/>
          <w:szCs w:val="24"/>
        </w:rPr>
        <w:t xml:space="preserve">gerenciamento de riscos corporativos </w:t>
      </w:r>
      <w:r w:rsidR="0060739F">
        <w:rPr>
          <w:sz w:val="24"/>
          <w:szCs w:val="24"/>
        </w:rPr>
        <w:t>contribui</w:t>
      </w:r>
      <w:r>
        <w:rPr>
          <w:sz w:val="24"/>
          <w:szCs w:val="24"/>
        </w:rPr>
        <w:t xml:space="preserve"> para o</w:t>
      </w:r>
      <w:r w:rsidRPr="009515E1">
        <w:rPr>
          <w:sz w:val="24"/>
          <w:szCs w:val="24"/>
        </w:rPr>
        <w:t xml:space="preserve"> </w:t>
      </w:r>
      <w:r>
        <w:rPr>
          <w:sz w:val="24"/>
          <w:szCs w:val="24"/>
        </w:rPr>
        <w:t xml:space="preserve">atingimento </w:t>
      </w:r>
      <w:r w:rsidRPr="009515E1">
        <w:rPr>
          <w:sz w:val="24"/>
          <w:szCs w:val="24"/>
        </w:rPr>
        <w:t xml:space="preserve">dos resultados. </w:t>
      </w:r>
    </w:p>
    <w:p w14:paraId="79588D74" w14:textId="279839FA" w:rsidR="00FD7D45" w:rsidRPr="009515E1" w:rsidRDefault="00FD7D45" w:rsidP="00FD7D45">
      <w:pPr>
        <w:spacing w:before="60" w:after="120" w:line="360" w:lineRule="auto"/>
        <w:ind w:firstLine="720"/>
        <w:jc w:val="both"/>
        <w:rPr>
          <w:sz w:val="24"/>
          <w:szCs w:val="24"/>
        </w:rPr>
      </w:pPr>
      <w:r w:rsidRPr="009515E1">
        <w:rPr>
          <w:sz w:val="24"/>
          <w:szCs w:val="24"/>
        </w:rPr>
        <w:t xml:space="preserve">Para o COSO 2017, o gerenciamento de riscos corporativos </w:t>
      </w:r>
      <w:r>
        <w:rPr>
          <w:sz w:val="24"/>
          <w:szCs w:val="24"/>
        </w:rPr>
        <w:t xml:space="preserve">é </w:t>
      </w:r>
      <w:r w:rsidRPr="009515E1">
        <w:rPr>
          <w:sz w:val="24"/>
          <w:szCs w:val="24"/>
        </w:rPr>
        <w:t>um meio eficaz para a administração cumprir o seu papel, gera</w:t>
      </w:r>
      <w:r>
        <w:rPr>
          <w:sz w:val="24"/>
          <w:szCs w:val="24"/>
        </w:rPr>
        <w:t>ndo</w:t>
      </w:r>
      <w:r w:rsidRPr="009515E1">
        <w:rPr>
          <w:sz w:val="24"/>
          <w:szCs w:val="24"/>
        </w:rPr>
        <w:t xml:space="preserve"> confiança e proporciona</w:t>
      </w:r>
      <w:r>
        <w:rPr>
          <w:sz w:val="24"/>
          <w:szCs w:val="24"/>
        </w:rPr>
        <w:t xml:space="preserve">ndo </w:t>
      </w:r>
      <w:r w:rsidRPr="009515E1">
        <w:rPr>
          <w:sz w:val="24"/>
          <w:szCs w:val="24"/>
        </w:rPr>
        <w:t xml:space="preserve">segurança. Nisso, os responsáveis pela supervisão das práticas para melhorar a </w:t>
      </w:r>
      <w:r w:rsidR="002368D5" w:rsidRPr="009515E1">
        <w:rPr>
          <w:sz w:val="24"/>
          <w:szCs w:val="24"/>
        </w:rPr>
        <w:t>performance</w:t>
      </w:r>
      <w:r w:rsidRPr="009515E1">
        <w:rPr>
          <w:sz w:val="24"/>
          <w:szCs w:val="24"/>
        </w:rPr>
        <w:t xml:space="preserve"> da organização devem revisar, questionar e colaborar com a alta administração em relação: (i) à estratégia proposta e ao apetite ao risco, (</w:t>
      </w:r>
      <w:proofErr w:type="spellStart"/>
      <w:r w:rsidRPr="009515E1">
        <w:rPr>
          <w:sz w:val="24"/>
          <w:szCs w:val="24"/>
        </w:rPr>
        <w:t>ii</w:t>
      </w:r>
      <w:proofErr w:type="spellEnd"/>
      <w:r w:rsidRPr="009515E1">
        <w:rPr>
          <w:sz w:val="24"/>
          <w:szCs w:val="24"/>
        </w:rPr>
        <w:t>) ao alinhamento da estratégia e dos objetivos institucionais com a missão, visão e os valores fundamentais da organização, (</w:t>
      </w:r>
      <w:proofErr w:type="spellStart"/>
      <w:r w:rsidRPr="009515E1">
        <w:rPr>
          <w:sz w:val="24"/>
          <w:szCs w:val="24"/>
        </w:rPr>
        <w:t>iii</w:t>
      </w:r>
      <w:proofErr w:type="spellEnd"/>
      <w:r w:rsidRPr="009515E1">
        <w:rPr>
          <w:sz w:val="24"/>
          <w:szCs w:val="24"/>
        </w:rPr>
        <w:t>) às decisões relevantes, (</w:t>
      </w:r>
      <w:proofErr w:type="spellStart"/>
      <w:r w:rsidRPr="009515E1">
        <w:rPr>
          <w:sz w:val="24"/>
          <w:szCs w:val="24"/>
        </w:rPr>
        <w:t>iv</w:t>
      </w:r>
      <w:proofErr w:type="spellEnd"/>
      <w:r w:rsidRPr="009515E1">
        <w:rPr>
          <w:sz w:val="24"/>
          <w:szCs w:val="24"/>
        </w:rPr>
        <w:t xml:space="preserve">) o resultado da </w:t>
      </w:r>
      <w:r w:rsidR="002368D5" w:rsidRPr="009515E1">
        <w:rPr>
          <w:sz w:val="24"/>
          <w:szCs w:val="24"/>
        </w:rPr>
        <w:t>performance</w:t>
      </w:r>
      <w:r w:rsidRPr="009515E1">
        <w:rPr>
          <w:sz w:val="24"/>
          <w:szCs w:val="24"/>
        </w:rPr>
        <w:t xml:space="preserve"> ou do portifólio de riscos, e (v) as respostas aos casos de desvios em relação a valores fundamentais, dentre outros.</w:t>
      </w:r>
    </w:p>
    <w:p w14:paraId="55378444" w14:textId="7AEB35A6" w:rsidR="00FD7D45" w:rsidRPr="009515E1" w:rsidRDefault="00FD7D45" w:rsidP="00FD7D45">
      <w:pPr>
        <w:spacing w:before="60" w:after="120" w:line="360" w:lineRule="auto"/>
        <w:ind w:firstLine="720"/>
        <w:jc w:val="both"/>
        <w:rPr>
          <w:sz w:val="24"/>
          <w:szCs w:val="24"/>
        </w:rPr>
      </w:pPr>
      <w:r w:rsidRPr="009515E1">
        <w:rPr>
          <w:sz w:val="24"/>
          <w:szCs w:val="24"/>
        </w:rPr>
        <w:t xml:space="preserve">O gerenciamento de riscos corporativos quando é integrado em toda a </w:t>
      </w:r>
      <w:r w:rsidR="002368D5" w:rsidRPr="009515E1">
        <w:rPr>
          <w:sz w:val="24"/>
          <w:szCs w:val="24"/>
        </w:rPr>
        <w:t>organização</w:t>
      </w:r>
      <w:r w:rsidRPr="009515E1">
        <w:rPr>
          <w:sz w:val="24"/>
          <w:szCs w:val="24"/>
        </w:rPr>
        <w:t xml:space="preserve"> pode gerar muitos benefícios, entre eles: (i) aumento do leque de oportunidades, (</w:t>
      </w:r>
      <w:proofErr w:type="spellStart"/>
      <w:r w:rsidRPr="009515E1">
        <w:rPr>
          <w:sz w:val="24"/>
          <w:szCs w:val="24"/>
        </w:rPr>
        <w:t>ii</w:t>
      </w:r>
      <w:proofErr w:type="spellEnd"/>
      <w:r w:rsidRPr="009515E1">
        <w:rPr>
          <w:sz w:val="24"/>
          <w:szCs w:val="24"/>
        </w:rPr>
        <w:t xml:space="preserve">) identificação </w:t>
      </w:r>
      <w:r>
        <w:rPr>
          <w:sz w:val="24"/>
          <w:szCs w:val="24"/>
        </w:rPr>
        <w:t xml:space="preserve">dos </w:t>
      </w:r>
      <w:r w:rsidRPr="009515E1">
        <w:rPr>
          <w:sz w:val="24"/>
          <w:szCs w:val="24"/>
        </w:rPr>
        <w:t>riscos na organização como um todo, (</w:t>
      </w:r>
      <w:proofErr w:type="spellStart"/>
      <w:r w:rsidRPr="009515E1">
        <w:rPr>
          <w:sz w:val="24"/>
          <w:szCs w:val="24"/>
        </w:rPr>
        <w:t>iii</w:t>
      </w:r>
      <w:proofErr w:type="spellEnd"/>
      <w:r w:rsidRPr="009515E1">
        <w:rPr>
          <w:sz w:val="24"/>
          <w:szCs w:val="24"/>
        </w:rPr>
        <w:t>) aumento dos resultados positivos</w:t>
      </w:r>
      <w:r>
        <w:rPr>
          <w:sz w:val="24"/>
          <w:szCs w:val="24"/>
        </w:rPr>
        <w:t xml:space="preserve"> e </w:t>
      </w:r>
      <w:r w:rsidRPr="009515E1">
        <w:rPr>
          <w:sz w:val="24"/>
          <w:szCs w:val="24"/>
        </w:rPr>
        <w:t>diminuição das surpresas negativas, (</w:t>
      </w:r>
      <w:proofErr w:type="spellStart"/>
      <w:r w:rsidRPr="009515E1">
        <w:rPr>
          <w:sz w:val="24"/>
          <w:szCs w:val="24"/>
        </w:rPr>
        <w:t>iv</w:t>
      </w:r>
      <w:proofErr w:type="spellEnd"/>
      <w:r w:rsidRPr="009515E1">
        <w:rPr>
          <w:sz w:val="24"/>
          <w:szCs w:val="24"/>
        </w:rPr>
        <w:t xml:space="preserve">) diminuição da oscilação da </w:t>
      </w:r>
      <w:r w:rsidR="002368D5" w:rsidRPr="009515E1">
        <w:rPr>
          <w:sz w:val="24"/>
          <w:szCs w:val="24"/>
        </w:rPr>
        <w:t>performance</w:t>
      </w:r>
      <w:r w:rsidRPr="009515E1">
        <w:rPr>
          <w:sz w:val="24"/>
          <w:szCs w:val="24"/>
        </w:rPr>
        <w:t>, (v) melhor</w:t>
      </w:r>
      <w:r>
        <w:rPr>
          <w:sz w:val="24"/>
          <w:szCs w:val="24"/>
        </w:rPr>
        <w:t>ia na</w:t>
      </w:r>
      <w:r w:rsidRPr="009515E1">
        <w:rPr>
          <w:sz w:val="24"/>
          <w:szCs w:val="24"/>
        </w:rPr>
        <w:t xml:space="preserve"> distribuição dos recursos, e (vi) aumento da resiliência </w:t>
      </w:r>
      <w:r w:rsidR="002368D5" w:rsidRPr="009515E1">
        <w:rPr>
          <w:sz w:val="24"/>
          <w:szCs w:val="24"/>
        </w:rPr>
        <w:t>da organização,</w:t>
      </w:r>
      <w:r w:rsidRPr="009515E1">
        <w:rPr>
          <w:sz w:val="24"/>
          <w:szCs w:val="24"/>
        </w:rPr>
        <w:t xml:space="preserve"> ou seja, a sua capacidade de prever mudanças e responder a elas.</w:t>
      </w:r>
    </w:p>
    <w:p w14:paraId="4DD9F88C" w14:textId="79868E6E" w:rsidR="00FD7D45" w:rsidRPr="009515E1" w:rsidRDefault="00FD7D45" w:rsidP="00FD7D45">
      <w:pPr>
        <w:spacing w:before="60" w:after="120" w:line="360" w:lineRule="auto"/>
        <w:ind w:firstLine="720"/>
        <w:jc w:val="both"/>
        <w:rPr>
          <w:sz w:val="24"/>
          <w:szCs w:val="24"/>
        </w:rPr>
      </w:pPr>
      <w:r w:rsidRPr="009515E1">
        <w:rPr>
          <w:sz w:val="24"/>
          <w:szCs w:val="24"/>
        </w:rPr>
        <w:t xml:space="preserve">Ainda, de acordo com as orientações do COSO 2017, o Gerenciamento de Riscos </w:t>
      </w:r>
      <w:r w:rsidR="002368D5" w:rsidRPr="009515E1">
        <w:rPr>
          <w:sz w:val="24"/>
          <w:szCs w:val="24"/>
        </w:rPr>
        <w:t>Corporativos</w:t>
      </w:r>
      <w:r w:rsidRPr="009515E1">
        <w:rPr>
          <w:sz w:val="24"/>
          <w:szCs w:val="24"/>
        </w:rPr>
        <w:t xml:space="preserve"> – Integrado com a Estratégia e </w:t>
      </w:r>
      <w:r w:rsidR="002368D5" w:rsidRPr="009515E1">
        <w:rPr>
          <w:sz w:val="24"/>
          <w:szCs w:val="24"/>
        </w:rPr>
        <w:t>Performance</w:t>
      </w:r>
      <w:r w:rsidRPr="009515E1">
        <w:rPr>
          <w:sz w:val="24"/>
          <w:szCs w:val="24"/>
        </w:rPr>
        <w:t xml:space="preserve"> realça a </w:t>
      </w:r>
      <w:r w:rsidR="002368D5" w:rsidRPr="009515E1">
        <w:rPr>
          <w:sz w:val="24"/>
          <w:szCs w:val="24"/>
        </w:rPr>
        <w:t>importância</w:t>
      </w:r>
      <w:r w:rsidRPr="009515E1">
        <w:rPr>
          <w:sz w:val="24"/>
          <w:szCs w:val="24"/>
        </w:rPr>
        <w:t xml:space="preserve"> do gerenciamento de riscos corporativos no planejamento estratégico e de sua incorporação em toda a organização, pois o processo influencia e alinha estratégia e </w:t>
      </w:r>
      <w:r w:rsidR="002368D5" w:rsidRPr="009515E1">
        <w:rPr>
          <w:sz w:val="24"/>
          <w:szCs w:val="24"/>
        </w:rPr>
        <w:t>performance</w:t>
      </w:r>
      <w:r w:rsidRPr="009515E1">
        <w:rPr>
          <w:sz w:val="24"/>
          <w:szCs w:val="24"/>
        </w:rPr>
        <w:t xml:space="preserve"> em todos as suas áreas.</w:t>
      </w:r>
    </w:p>
    <w:p w14:paraId="22E0B0B6" w14:textId="2F8EDCEC" w:rsidR="00A61398" w:rsidRDefault="00FD7D45" w:rsidP="00A61398">
      <w:pPr>
        <w:spacing w:before="60" w:after="120" w:line="360" w:lineRule="auto"/>
        <w:ind w:firstLine="720"/>
        <w:jc w:val="both"/>
        <w:rPr>
          <w:sz w:val="24"/>
          <w:szCs w:val="24"/>
        </w:rPr>
      </w:pPr>
      <w:r w:rsidRPr="009515E1">
        <w:rPr>
          <w:sz w:val="24"/>
          <w:szCs w:val="24"/>
        </w:rPr>
        <w:t xml:space="preserve">Dessa forma os cinco componentes deste </w:t>
      </w:r>
      <w:r w:rsidRPr="009515E1">
        <w:rPr>
          <w:i/>
          <w:iCs/>
          <w:sz w:val="24"/>
          <w:szCs w:val="24"/>
        </w:rPr>
        <w:t xml:space="preserve">Framework </w:t>
      </w:r>
      <w:r w:rsidRPr="009515E1">
        <w:rPr>
          <w:sz w:val="24"/>
          <w:szCs w:val="24"/>
        </w:rPr>
        <w:t>abrangem desde a governança até o monitoramento, descrevem práticas que podem ser aplicadas em diferentes formas nas organizações, independente do seu tamanho, tipo ou seto</w:t>
      </w:r>
      <w:r w:rsidR="00A61398">
        <w:rPr>
          <w:sz w:val="24"/>
          <w:szCs w:val="24"/>
        </w:rPr>
        <w:t>r.</w:t>
      </w:r>
    </w:p>
    <w:p w14:paraId="3C51E430" w14:textId="4659FBB4" w:rsidR="00A61398" w:rsidRPr="009515E1" w:rsidRDefault="00A61398" w:rsidP="00A61398">
      <w:pPr>
        <w:spacing w:before="60" w:after="120" w:line="360" w:lineRule="auto"/>
        <w:ind w:firstLine="720"/>
        <w:rPr>
          <w:sz w:val="24"/>
          <w:szCs w:val="24"/>
        </w:rPr>
      </w:pPr>
      <w:r w:rsidRPr="00CB3DDF">
        <w:rPr>
          <w:sz w:val="24"/>
          <w:szCs w:val="24"/>
        </w:rPr>
        <w:t xml:space="preserve">Figura </w:t>
      </w:r>
      <w:r>
        <w:rPr>
          <w:sz w:val="24"/>
          <w:szCs w:val="24"/>
        </w:rPr>
        <w:t>2</w:t>
      </w:r>
      <w:r w:rsidRPr="00CB3DDF">
        <w:rPr>
          <w:sz w:val="24"/>
          <w:szCs w:val="24"/>
        </w:rPr>
        <w:t xml:space="preserve"> – </w:t>
      </w:r>
      <w:r>
        <w:rPr>
          <w:sz w:val="24"/>
          <w:szCs w:val="24"/>
        </w:rPr>
        <w:t xml:space="preserve">Gerenciamento de Riscos Corporativos </w:t>
      </w:r>
      <w:r>
        <w:rPr>
          <w:sz w:val="24"/>
          <w:szCs w:val="24"/>
        </w:rPr>
        <w:t xml:space="preserve">(Fonte: </w:t>
      </w:r>
      <w:r w:rsidR="007E24BB" w:rsidRPr="002368D5">
        <w:rPr>
          <w:sz w:val="24"/>
          <w:szCs w:val="24"/>
        </w:rPr>
        <w:t>COSO ERM:2017</w:t>
      </w:r>
      <w:r>
        <w:rPr>
          <w:sz w:val="24"/>
          <w:szCs w:val="24"/>
        </w:rPr>
        <w:t>)</w:t>
      </w:r>
    </w:p>
    <w:p w14:paraId="119DEFC3" w14:textId="77777777" w:rsidR="00FD7D45" w:rsidRDefault="00FD7D45" w:rsidP="00937561">
      <w:pPr>
        <w:spacing w:before="60" w:after="120" w:line="360" w:lineRule="auto"/>
        <w:rPr>
          <w:color w:val="FF0000"/>
          <w:sz w:val="24"/>
          <w:szCs w:val="24"/>
        </w:rPr>
      </w:pPr>
      <w:r w:rsidRPr="00106CCD">
        <w:rPr>
          <w:noProof/>
        </w:rPr>
        <w:drawing>
          <wp:inline distT="0" distB="0" distL="0" distR="0" wp14:anchorId="7FDD3A4B" wp14:editId="3C01CFD5">
            <wp:extent cx="5854700" cy="1411204"/>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71414" cy="1415233"/>
                    </a:xfrm>
                    <a:prstGeom prst="rect">
                      <a:avLst/>
                    </a:prstGeom>
                  </pic:spPr>
                </pic:pic>
              </a:graphicData>
            </a:graphic>
          </wp:inline>
        </w:drawing>
      </w:r>
    </w:p>
    <w:p w14:paraId="7303BC17" w14:textId="77777777" w:rsidR="00FD7D45" w:rsidRPr="009515E1" w:rsidRDefault="00FD7D45" w:rsidP="00FD7D45">
      <w:pPr>
        <w:spacing w:before="60" w:after="120" w:line="360" w:lineRule="auto"/>
        <w:jc w:val="both"/>
        <w:rPr>
          <w:sz w:val="24"/>
          <w:szCs w:val="24"/>
        </w:rPr>
      </w:pPr>
      <w:r w:rsidRPr="009515E1">
        <w:rPr>
          <w:b/>
          <w:bCs/>
          <w:sz w:val="24"/>
          <w:szCs w:val="24"/>
        </w:rPr>
        <w:t>Governança e cultura</w:t>
      </w:r>
      <w:r w:rsidRPr="009515E1">
        <w:rPr>
          <w:sz w:val="24"/>
          <w:szCs w:val="24"/>
        </w:rPr>
        <w:t>: a governança dá o tom da organização, reforçando a importância e instituindo responsabilidades e supervisão sobre o gerenciamento de riscos corporativos. A cultura diz respeito a valores éticos, a comportamentos esperados e ao entendimento do risco em toda a entidade.</w:t>
      </w:r>
    </w:p>
    <w:p w14:paraId="7153BDA8" w14:textId="0C565014" w:rsidR="00FD7D45" w:rsidRPr="009515E1" w:rsidRDefault="00FD7D45" w:rsidP="00FD7D45">
      <w:pPr>
        <w:spacing w:before="60" w:after="120" w:line="360" w:lineRule="auto"/>
        <w:jc w:val="both"/>
        <w:rPr>
          <w:sz w:val="24"/>
          <w:szCs w:val="24"/>
        </w:rPr>
      </w:pPr>
      <w:r w:rsidRPr="009515E1">
        <w:rPr>
          <w:b/>
          <w:bCs/>
          <w:sz w:val="24"/>
          <w:szCs w:val="24"/>
        </w:rPr>
        <w:t>Estratégia e definição de objetivos</w:t>
      </w:r>
      <w:r w:rsidRPr="009515E1">
        <w:rPr>
          <w:sz w:val="24"/>
          <w:szCs w:val="24"/>
        </w:rPr>
        <w:t xml:space="preserve">: atuam juntos no processo de </w:t>
      </w:r>
      <w:r w:rsidR="002368D5" w:rsidRPr="009515E1">
        <w:rPr>
          <w:sz w:val="24"/>
          <w:szCs w:val="24"/>
        </w:rPr>
        <w:t xml:space="preserve">planejamento </w:t>
      </w:r>
      <w:r w:rsidR="002368D5">
        <w:rPr>
          <w:sz w:val="24"/>
          <w:szCs w:val="24"/>
        </w:rPr>
        <w:t>estratégico</w:t>
      </w:r>
      <w:r w:rsidRPr="009515E1">
        <w:rPr>
          <w:sz w:val="24"/>
          <w:szCs w:val="24"/>
        </w:rPr>
        <w:t xml:space="preserve">. O apetite ao risco é estabelecido e alinhado </w:t>
      </w:r>
      <w:r w:rsidR="002368D5">
        <w:rPr>
          <w:sz w:val="24"/>
          <w:szCs w:val="24"/>
        </w:rPr>
        <w:t>às</w:t>
      </w:r>
      <w:r w:rsidR="002368D5" w:rsidRPr="009515E1">
        <w:rPr>
          <w:sz w:val="24"/>
          <w:szCs w:val="24"/>
        </w:rPr>
        <w:t xml:space="preserve"> estratégias</w:t>
      </w:r>
      <w:r w:rsidRPr="009515E1">
        <w:rPr>
          <w:sz w:val="24"/>
          <w:szCs w:val="24"/>
        </w:rPr>
        <w:t>; os objetivos institucionais colocam a estratégia em prática e, ao mesmo tempo, servem como base para identificar, avaliar e responder aos riscos.</w:t>
      </w:r>
    </w:p>
    <w:p w14:paraId="349FC740" w14:textId="5ABE48E6" w:rsidR="00FD7D45" w:rsidRPr="009515E1" w:rsidRDefault="002368D5" w:rsidP="00FD7D45">
      <w:pPr>
        <w:spacing w:before="60" w:after="120" w:line="360" w:lineRule="auto"/>
        <w:jc w:val="both"/>
        <w:rPr>
          <w:sz w:val="24"/>
          <w:szCs w:val="24"/>
        </w:rPr>
      </w:pPr>
      <w:r w:rsidRPr="009515E1">
        <w:rPr>
          <w:b/>
          <w:bCs/>
          <w:sz w:val="24"/>
          <w:szCs w:val="24"/>
        </w:rPr>
        <w:t>Performance</w:t>
      </w:r>
      <w:r w:rsidR="00FD7D45" w:rsidRPr="009515E1">
        <w:rPr>
          <w:sz w:val="24"/>
          <w:szCs w:val="24"/>
        </w:rPr>
        <w:t xml:space="preserve">: os riscos que podem impactar a realização da estratégia e o alcance dos objetivos institucionais precisam ser identificados e avaliados. Os riscos são priorizados com base no grau de </w:t>
      </w:r>
      <w:r w:rsidRPr="009515E1">
        <w:rPr>
          <w:sz w:val="24"/>
          <w:szCs w:val="24"/>
        </w:rPr>
        <w:t>severidade</w:t>
      </w:r>
      <w:r w:rsidR="00FD7D45" w:rsidRPr="009515E1">
        <w:rPr>
          <w:sz w:val="24"/>
          <w:szCs w:val="24"/>
        </w:rPr>
        <w:t>, no contexto do apetite ao risco. A organização determina a respostas aos riscos e, por fim, alcança uma visão consolidada do portifólio e do montante total dos riscos assumidos. Os resultados desse processo são comunicados às principais partes relacionadas envolvidas com a supervisão dos riscos.</w:t>
      </w:r>
    </w:p>
    <w:p w14:paraId="70ABA768" w14:textId="0E0F2F48" w:rsidR="00FD7D45" w:rsidRPr="009515E1" w:rsidRDefault="00FD7D45" w:rsidP="00FD7D45">
      <w:pPr>
        <w:spacing w:before="60" w:after="120" w:line="360" w:lineRule="auto"/>
        <w:jc w:val="both"/>
        <w:rPr>
          <w:sz w:val="24"/>
          <w:szCs w:val="24"/>
        </w:rPr>
      </w:pPr>
      <w:r w:rsidRPr="009515E1">
        <w:rPr>
          <w:b/>
          <w:bCs/>
          <w:sz w:val="24"/>
          <w:szCs w:val="24"/>
        </w:rPr>
        <w:t>Análise e revisão</w:t>
      </w:r>
      <w:r w:rsidRPr="009515E1">
        <w:rPr>
          <w:sz w:val="24"/>
          <w:szCs w:val="24"/>
        </w:rPr>
        <w:t xml:space="preserve">: ao analisar a sua </w:t>
      </w:r>
      <w:r w:rsidR="002368D5" w:rsidRPr="009515E1">
        <w:rPr>
          <w:sz w:val="24"/>
          <w:szCs w:val="24"/>
        </w:rPr>
        <w:t>performance</w:t>
      </w:r>
      <w:r w:rsidRPr="009515E1">
        <w:rPr>
          <w:sz w:val="24"/>
          <w:szCs w:val="24"/>
        </w:rPr>
        <w:t>, a organização tem a oportunidade de refletir sobre até que ponto os componentes do gerenciamento de riscos coorporativos estão funcionando bem ao longo do tempo e no cont</w:t>
      </w:r>
      <w:r>
        <w:rPr>
          <w:sz w:val="24"/>
          <w:szCs w:val="24"/>
        </w:rPr>
        <w:t>e</w:t>
      </w:r>
      <w:r w:rsidRPr="009515E1">
        <w:rPr>
          <w:sz w:val="24"/>
          <w:szCs w:val="24"/>
        </w:rPr>
        <w:t>xto de mudanças relevantes, e quais correções são necessárias.</w:t>
      </w:r>
    </w:p>
    <w:p w14:paraId="044233BA" w14:textId="77777777" w:rsidR="00FD7D45" w:rsidRPr="009515E1" w:rsidRDefault="00FD7D45" w:rsidP="00FD7D45">
      <w:pPr>
        <w:spacing w:before="60" w:after="120" w:line="360" w:lineRule="auto"/>
        <w:jc w:val="both"/>
        <w:rPr>
          <w:sz w:val="24"/>
          <w:szCs w:val="24"/>
        </w:rPr>
      </w:pPr>
      <w:r w:rsidRPr="009515E1">
        <w:rPr>
          <w:b/>
          <w:bCs/>
          <w:sz w:val="24"/>
          <w:szCs w:val="24"/>
        </w:rPr>
        <w:t>Informação, comunicação e divulgação</w:t>
      </w:r>
      <w:r w:rsidRPr="009515E1">
        <w:rPr>
          <w:sz w:val="24"/>
          <w:szCs w:val="24"/>
        </w:rPr>
        <w:t>: o gerenciamento de riscos coorporativos demanda um processo contínuo de obtenção e compartilhamento de informações precisas, provenientes de fontes internas e externas, originadas das mais diversas camadas e processos da organização.</w:t>
      </w:r>
    </w:p>
    <w:p w14:paraId="7AC70C42" w14:textId="77777777" w:rsidR="00FD7D45" w:rsidRPr="009515E1" w:rsidRDefault="00FD7D45" w:rsidP="00FD7D45">
      <w:pPr>
        <w:spacing w:before="60" w:after="120" w:line="360" w:lineRule="auto"/>
        <w:ind w:firstLine="720"/>
        <w:jc w:val="both"/>
        <w:rPr>
          <w:sz w:val="24"/>
          <w:szCs w:val="24"/>
        </w:rPr>
      </w:pPr>
      <w:r w:rsidRPr="009515E1">
        <w:rPr>
          <w:sz w:val="24"/>
          <w:szCs w:val="24"/>
        </w:rPr>
        <w:t>E, por fim, de acordo com o COSO 2017</w:t>
      </w:r>
      <w:r>
        <w:rPr>
          <w:sz w:val="24"/>
          <w:szCs w:val="24"/>
        </w:rPr>
        <w:t>,</w:t>
      </w:r>
      <w:r w:rsidRPr="009515E1">
        <w:rPr>
          <w:sz w:val="24"/>
          <w:szCs w:val="24"/>
        </w:rPr>
        <w:t xml:space="preserve"> podemos observar diversas tendências que terão impacto no </w:t>
      </w:r>
      <w:r>
        <w:rPr>
          <w:sz w:val="24"/>
          <w:szCs w:val="24"/>
        </w:rPr>
        <w:t xml:space="preserve">sucesso do </w:t>
      </w:r>
      <w:r w:rsidRPr="009515E1">
        <w:rPr>
          <w:sz w:val="24"/>
          <w:szCs w:val="24"/>
        </w:rPr>
        <w:t>gerenciamento de riscos corporativos, destacadas a seguir:</w:t>
      </w:r>
    </w:p>
    <w:p w14:paraId="412E27D4" w14:textId="77777777" w:rsidR="00FD7D45" w:rsidRPr="00266838" w:rsidRDefault="00FD7D45" w:rsidP="00FD7D45">
      <w:pPr>
        <w:spacing w:before="60" w:after="120" w:line="360" w:lineRule="auto"/>
        <w:jc w:val="both"/>
        <w:rPr>
          <w:color w:val="FF0000"/>
          <w:sz w:val="24"/>
          <w:szCs w:val="24"/>
        </w:rPr>
      </w:pPr>
      <w:r>
        <w:rPr>
          <w:noProof/>
          <w:color w:val="FF0000"/>
          <w:sz w:val="24"/>
          <w:szCs w:val="24"/>
        </w:rPr>
        <w:drawing>
          <wp:inline distT="0" distB="0" distL="0" distR="0" wp14:anchorId="0C506B94" wp14:editId="1BD06B7C">
            <wp:extent cx="5803900" cy="3448050"/>
            <wp:effectExtent l="0" t="0" r="635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2BAC091" w14:textId="14840A99" w:rsidR="00FD7D45" w:rsidRDefault="00FD7D45" w:rsidP="00FD7D45">
      <w:pPr>
        <w:spacing w:before="60" w:after="120" w:line="360" w:lineRule="auto"/>
        <w:ind w:left="360"/>
        <w:rPr>
          <w:color w:val="FF0000"/>
          <w:sz w:val="24"/>
          <w:szCs w:val="24"/>
        </w:rPr>
      </w:pPr>
    </w:p>
    <w:p w14:paraId="28975EB5" w14:textId="52191866" w:rsidR="002368D5" w:rsidRDefault="002368D5" w:rsidP="00FD7D45">
      <w:pPr>
        <w:spacing w:before="60" w:after="120" w:line="360" w:lineRule="auto"/>
        <w:ind w:left="360"/>
        <w:rPr>
          <w:color w:val="FF0000"/>
          <w:sz w:val="24"/>
          <w:szCs w:val="24"/>
        </w:rPr>
      </w:pPr>
    </w:p>
    <w:p w14:paraId="27C9E84F" w14:textId="07E1DDB8" w:rsidR="002368D5" w:rsidRDefault="002368D5" w:rsidP="00FD7D45">
      <w:pPr>
        <w:spacing w:before="60" w:after="120" w:line="360" w:lineRule="auto"/>
        <w:ind w:left="360"/>
        <w:rPr>
          <w:color w:val="FF0000"/>
          <w:sz w:val="24"/>
          <w:szCs w:val="24"/>
        </w:rPr>
      </w:pPr>
    </w:p>
    <w:p w14:paraId="717A3844" w14:textId="77777777" w:rsidR="00FD7D45" w:rsidRPr="00D61362" w:rsidRDefault="00FD7D45" w:rsidP="00FD7D45">
      <w:pPr>
        <w:spacing w:before="60" w:after="120" w:line="360" w:lineRule="auto"/>
        <w:ind w:firstLine="720"/>
        <w:jc w:val="both"/>
        <w:rPr>
          <w:sz w:val="24"/>
          <w:szCs w:val="24"/>
        </w:rPr>
      </w:pPr>
      <w:r w:rsidRPr="00D61362">
        <w:rPr>
          <w:sz w:val="24"/>
          <w:szCs w:val="24"/>
        </w:rPr>
        <w:t>Referências entre a Norma ABNT ISO 31000:2018 e COSO ERM:2017:</w:t>
      </w:r>
    </w:p>
    <w:tbl>
      <w:tblPr>
        <w:tblStyle w:val="TabeladeGrade1Clara-nfase1"/>
        <w:tblW w:w="9087" w:type="dxa"/>
        <w:tblLook w:val="04A0" w:firstRow="1" w:lastRow="0" w:firstColumn="1" w:lastColumn="0" w:noHBand="0" w:noVBand="1"/>
      </w:tblPr>
      <w:tblGrid>
        <w:gridCol w:w="4544"/>
        <w:gridCol w:w="4543"/>
      </w:tblGrid>
      <w:tr w:rsidR="00FD7D45" w14:paraId="1D04C5AF" w14:textId="77777777" w:rsidTr="003E71F5">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4544" w:type="dxa"/>
          </w:tcPr>
          <w:p w14:paraId="78CD6E61" w14:textId="0B5FD7F7" w:rsidR="00FD7D45" w:rsidRPr="002368D5" w:rsidRDefault="00FD7D45" w:rsidP="00E83362">
            <w:pPr>
              <w:spacing w:before="60" w:after="120" w:line="360" w:lineRule="auto"/>
              <w:ind w:left="720"/>
              <w:jc w:val="center"/>
              <w:rPr>
                <w:sz w:val="24"/>
                <w:szCs w:val="24"/>
              </w:rPr>
            </w:pPr>
            <w:r w:rsidRPr="002368D5">
              <w:rPr>
                <w:sz w:val="24"/>
                <w:szCs w:val="24"/>
              </w:rPr>
              <w:t xml:space="preserve">COSO ERM:2017 </w:t>
            </w:r>
          </w:p>
        </w:tc>
        <w:tc>
          <w:tcPr>
            <w:tcW w:w="4543" w:type="dxa"/>
          </w:tcPr>
          <w:p w14:paraId="7C106BCE" w14:textId="76ECE58D" w:rsidR="00FD7D45" w:rsidRPr="002368D5" w:rsidRDefault="007E24BB" w:rsidP="00E83362">
            <w:pPr>
              <w:spacing w:before="60" w:after="120"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2368D5">
              <w:rPr>
                <w:sz w:val="24"/>
                <w:szCs w:val="24"/>
              </w:rPr>
              <w:t>ABNT</w:t>
            </w:r>
            <w:r w:rsidRPr="002368D5">
              <w:rPr>
                <w:sz w:val="24"/>
                <w:szCs w:val="24"/>
              </w:rPr>
              <w:t xml:space="preserve"> </w:t>
            </w:r>
            <w:r w:rsidR="00FD7D45" w:rsidRPr="002368D5">
              <w:rPr>
                <w:sz w:val="24"/>
                <w:szCs w:val="24"/>
              </w:rPr>
              <w:t>ISO 31000:2018</w:t>
            </w:r>
          </w:p>
        </w:tc>
      </w:tr>
      <w:tr w:rsidR="00FD7D45" w14:paraId="74A9205E" w14:textId="77777777" w:rsidTr="003E71F5">
        <w:trPr>
          <w:trHeight w:val="456"/>
        </w:trPr>
        <w:tc>
          <w:tcPr>
            <w:cnfStyle w:val="001000000000" w:firstRow="0" w:lastRow="0" w:firstColumn="1" w:lastColumn="0" w:oddVBand="0" w:evenVBand="0" w:oddHBand="0" w:evenHBand="0" w:firstRowFirstColumn="0" w:firstRowLastColumn="0" w:lastRowFirstColumn="0" w:lastRowLastColumn="0"/>
            <w:tcW w:w="4544" w:type="dxa"/>
          </w:tcPr>
          <w:p w14:paraId="5B208A30" w14:textId="77777777" w:rsidR="00FD7D45" w:rsidRPr="002368D5" w:rsidRDefault="00FD7D45" w:rsidP="00E83362">
            <w:pPr>
              <w:spacing w:before="60" w:after="120" w:line="360" w:lineRule="auto"/>
              <w:rPr>
                <w:sz w:val="24"/>
                <w:szCs w:val="24"/>
              </w:rPr>
            </w:pPr>
            <w:r w:rsidRPr="002368D5">
              <w:rPr>
                <w:noProof/>
                <w:sz w:val="24"/>
                <w:szCs w:val="24"/>
                <w:lang w:val="pt-BR"/>
              </w:rPr>
              <w:t>Governança e cultura</w:t>
            </w:r>
          </w:p>
        </w:tc>
        <w:tc>
          <w:tcPr>
            <w:tcW w:w="4543" w:type="dxa"/>
          </w:tcPr>
          <w:p w14:paraId="0A623573" w14:textId="77777777" w:rsidR="00FD7D45" w:rsidRPr="002368D5" w:rsidRDefault="00FD7D45" w:rsidP="00E83362">
            <w:pPr>
              <w:spacing w:before="60" w:after="120"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2368D5">
              <w:rPr>
                <w:sz w:val="24"/>
                <w:szCs w:val="24"/>
                <w:lang w:val="pt-BR"/>
              </w:rPr>
              <w:t>Estrutura</w:t>
            </w:r>
          </w:p>
        </w:tc>
      </w:tr>
      <w:tr w:rsidR="00FD7D45" w14:paraId="6194499F" w14:textId="77777777" w:rsidTr="003E71F5">
        <w:trPr>
          <w:trHeight w:val="444"/>
        </w:trPr>
        <w:tc>
          <w:tcPr>
            <w:cnfStyle w:val="001000000000" w:firstRow="0" w:lastRow="0" w:firstColumn="1" w:lastColumn="0" w:oddVBand="0" w:evenVBand="0" w:oddHBand="0" w:evenHBand="0" w:firstRowFirstColumn="0" w:firstRowLastColumn="0" w:lastRowFirstColumn="0" w:lastRowLastColumn="0"/>
            <w:tcW w:w="4544" w:type="dxa"/>
          </w:tcPr>
          <w:p w14:paraId="174B9AB4" w14:textId="77777777" w:rsidR="00FD7D45" w:rsidRPr="002368D5" w:rsidRDefault="00FD7D45" w:rsidP="00E83362">
            <w:pPr>
              <w:spacing w:before="60" w:after="120" w:line="360" w:lineRule="auto"/>
              <w:rPr>
                <w:sz w:val="24"/>
                <w:szCs w:val="24"/>
              </w:rPr>
            </w:pPr>
            <w:r w:rsidRPr="002368D5">
              <w:rPr>
                <w:noProof/>
                <w:sz w:val="24"/>
                <w:szCs w:val="24"/>
              </w:rPr>
              <w:t>Estratégia e definição de objetivos</w:t>
            </w:r>
          </w:p>
        </w:tc>
        <w:tc>
          <w:tcPr>
            <w:tcW w:w="4543" w:type="dxa"/>
          </w:tcPr>
          <w:p w14:paraId="4A7ABC3D" w14:textId="77777777" w:rsidR="00FD7D45" w:rsidRPr="002368D5" w:rsidRDefault="00FD7D45" w:rsidP="00E83362">
            <w:pPr>
              <w:spacing w:before="60" w:after="120"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2368D5">
              <w:rPr>
                <w:sz w:val="24"/>
                <w:szCs w:val="24"/>
                <w:lang w:val="pt-BR"/>
              </w:rPr>
              <w:t>Escopo, contexto e critério</w:t>
            </w:r>
          </w:p>
        </w:tc>
      </w:tr>
      <w:tr w:rsidR="00FD7D45" w14:paraId="05651C97" w14:textId="77777777" w:rsidTr="003E71F5">
        <w:trPr>
          <w:trHeight w:val="618"/>
        </w:trPr>
        <w:tc>
          <w:tcPr>
            <w:cnfStyle w:val="001000000000" w:firstRow="0" w:lastRow="0" w:firstColumn="1" w:lastColumn="0" w:oddVBand="0" w:evenVBand="0" w:oddHBand="0" w:evenHBand="0" w:firstRowFirstColumn="0" w:firstRowLastColumn="0" w:lastRowFirstColumn="0" w:lastRowLastColumn="0"/>
            <w:tcW w:w="4544" w:type="dxa"/>
            <w:vMerge w:val="restart"/>
          </w:tcPr>
          <w:p w14:paraId="10D95452" w14:textId="77777777" w:rsidR="00FD7D45" w:rsidRPr="002368D5" w:rsidRDefault="00FD7D45" w:rsidP="00E83362">
            <w:pPr>
              <w:spacing w:before="60" w:after="120" w:line="360" w:lineRule="auto"/>
              <w:rPr>
                <w:sz w:val="24"/>
                <w:szCs w:val="24"/>
              </w:rPr>
            </w:pPr>
            <w:r w:rsidRPr="002368D5">
              <w:rPr>
                <w:noProof/>
                <w:sz w:val="24"/>
                <w:szCs w:val="24"/>
                <w:lang w:val="pt-BR"/>
              </w:rPr>
              <w:t>Performace</w:t>
            </w:r>
          </w:p>
        </w:tc>
        <w:tc>
          <w:tcPr>
            <w:tcW w:w="4543" w:type="dxa"/>
          </w:tcPr>
          <w:p w14:paraId="7C84956B" w14:textId="4DECD122" w:rsidR="00FD7D45" w:rsidRPr="003E71F5" w:rsidRDefault="003E71F5" w:rsidP="00E83362">
            <w:pPr>
              <w:spacing w:before="60" w:after="120" w:line="360" w:lineRule="auto"/>
              <w:cnfStyle w:val="000000000000" w:firstRow="0" w:lastRow="0" w:firstColumn="0" w:lastColumn="0" w:oddVBand="0" w:evenVBand="0" w:oddHBand="0" w:evenHBand="0" w:firstRowFirstColumn="0" w:firstRowLastColumn="0" w:lastRowFirstColumn="0" w:lastRowLastColumn="0"/>
              <w:rPr>
                <w:sz w:val="24"/>
                <w:szCs w:val="24"/>
                <w:lang w:val="pt-BR"/>
              </w:rPr>
            </w:pPr>
            <w:r w:rsidRPr="003E71F5">
              <w:rPr>
                <w:sz w:val="24"/>
                <w:szCs w:val="24"/>
                <w:lang w:val="pt-BR"/>
              </w:rPr>
              <w:t>Processo de avaliação de riscos (identificação, análise e avaliação)</w:t>
            </w:r>
          </w:p>
        </w:tc>
      </w:tr>
      <w:tr w:rsidR="00FD7D45" w14:paraId="284CEB5E" w14:textId="77777777" w:rsidTr="003E71F5">
        <w:trPr>
          <w:trHeight w:val="618"/>
        </w:trPr>
        <w:tc>
          <w:tcPr>
            <w:cnfStyle w:val="001000000000" w:firstRow="0" w:lastRow="0" w:firstColumn="1" w:lastColumn="0" w:oddVBand="0" w:evenVBand="0" w:oddHBand="0" w:evenHBand="0" w:firstRowFirstColumn="0" w:firstRowLastColumn="0" w:lastRowFirstColumn="0" w:lastRowLastColumn="0"/>
            <w:tcW w:w="4544" w:type="dxa"/>
            <w:vMerge/>
          </w:tcPr>
          <w:p w14:paraId="130683EE" w14:textId="77777777" w:rsidR="00FD7D45" w:rsidRPr="002368D5" w:rsidRDefault="00FD7D45" w:rsidP="00E83362">
            <w:pPr>
              <w:spacing w:before="60" w:after="120" w:line="360" w:lineRule="auto"/>
              <w:rPr>
                <w:noProof/>
                <w:sz w:val="24"/>
                <w:szCs w:val="24"/>
                <w:lang w:val="pt-BR"/>
              </w:rPr>
            </w:pPr>
          </w:p>
        </w:tc>
        <w:tc>
          <w:tcPr>
            <w:tcW w:w="4543" w:type="dxa"/>
          </w:tcPr>
          <w:p w14:paraId="7C000857" w14:textId="77777777" w:rsidR="00FD7D45" w:rsidRPr="003E71F5" w:rsidRDefault="00FD7D45" w:rsidP="00E83362">
            <w:pPr>
              <w:spacing w:before="60" w:after="120" w:line="360" w:lineRule="auto"/>
              <w:cnfStyle w:val="000000000000" w:firstRow="0" w:lastRow="0" w:firstColumn="0" w:lastColumn="0" w:oddVBand="0" w:evenVBand="0" w:oddHBand="0" w:evenHBand="0" w:firstRowFirstColumn="0" w:firstRowLastColumn="0" w:lastRowFirstColumn="0" w:lastRowLastColumn="0"/>
              <w:rPr>
                <w:sz w:val="24"/>
                <w:szCs w:val="24"/>
                <w:lang w:val="pt-BR"/>
              </w:rPr>
            </w:pPr>
            <w:r w:rsidRPr="003E71F5">
              <w:rPr>
                <w:sz w:val="24"/>
                <w:szCs w:val="24"/>
                <w:lang w:val="pt-BR"/>
              </w:rPr>
              <w:t>Tratamento de riscos (resposta aos riscos)</w:t>
            </w:r>
          </w:p>
        </w:tc>
      </w:tr>
      <w:tr w:rsidR="00FD7D45" w14:paraId="10D82519" w14:textId="77777777" w:rsidTr="003E71F5">
        <w:trPr>
          <w:trHeight w:val="645"/>
        </w:trPr>
        <w:tc>
          <w:tcPr>
            <w:cnfStyle w:val="001000000000" w:firstRow="0" w:lastRow="0" w:firstColumn="1" w:lastColumn="0" w:oddVBand="0" w:evenVBand="0" w:oddHBand="0" w:evenHBand="0" w:firstRowFirstColumn="0" w:firstRowLastColumn="0" w:lastRowFirstColumn="0" w:lastRowLastColumn="0"/>
            <w:tcW w:w="4544" w:type="dxa"/>
          </w:tcPr>
          <w:p w14:paraId="29EE2F12" w14:textId="77777777" w:rsidR="00FD7D45" w:rsidRPr="002368D5" w:rsidRDefault="00FD7D45" w:rsidP="00E83362">
            <w:pPr>
              <w:spacing w:before="60" w:after="120" w:line="360" w:lineRule="auto"/>
              <w:rPr>
                <w:sz w:val="24"/>
                <w:szCs w:val="24"/>
              </w:rPr>
            </w:pPr>
            <w:r w:rsidRPr="002368D5">
              <w:rPr>
                <w:noProof/>
                <w:sz w:val="24"/>
                <w:szCs w:val="24"/>
                <w:lang w:val="pt-BR"/>
              </w:rPr>
              <w:t>Análise e revisão</w:t>
            </w:r>
          </w:p>
        </w:tc>
        <w:tc>
          <w:tcPr>
            <w:tcW w:w="4543" w:type="dxa"/>
          </w:tcPr>
          <w:p w14:paraId="319088AD" w14:textId="77777777" w:rsidR="00FD7D45" w:rsidRPr="003E71F5" w:rsidRDefault="00FD7D45" w:rsidP="00E83362">
            <w:pPr>
              <w:spacing w:before="60" w:after="120" w:line="360" w:lineRule="auto"/>
              <w:cnfStyle w:val="000000000000" w:firstRow="0" w:lastRow="0" w:firstColumn="0" w:lastColumn="0" w:oddVBand="0" w:evenVBand="0" w:oddHBand="0" w:evenHBand="0" w:firstRowFirstColumn="0" w:firstRowLastColumn="0" w:lastRowFirstColumn="0" w:lastRowLastColumn="0"/>
              <w:rPr>
                <w:sz w:val="24"/>
                <w:szCs w:val="24"/>
                <w:lang w:val="pt-BR"/>
              </w:rPr>
            </w:pPr>
            <w:r w:rsidRPr="003E71F5">
              <w:rPr>
                <w:sz w:val="24"/>
                <w:szCs w:val="24"/>
                <w:lang w:val="pt-BR"/>
              </w:rPr>
              <w:t>Monitoramento e análise crítica</w:t>
            </w:r>
          </w:p>
        </w:tc>
      </w:tr>
      <w:tr w:rsidR="00FD7D45" w14:paraId="23C78B16" w14:textId="77777777" w:rsidTr="003E71F5">
        <w:trPr>
          <w:trHeight w:val="618"/>
        </w:trPr>
        <w:tc>
          <w:tcPr>
            <w:cnfStyle w:val="001000000000" w:firstRow="0" w:lastRow="0" w:firstColumn="1" w:lastColumn="0" w:oddVBand="0" w:evenVBand="0" w:oddHBand="0" w:evenHBand="0" w:firstRowFirstColumn="0" w:firstRowLastColumn="0" w:lastRowFirstColumn="0" w:lastRowLastColumn="0"/>
            <w:tcW w:w="4544" w:type="dxa"/>
            <w:vMerge w:val="restart"/>
          </w:tcPr>
          <w:p w14:paraId="4F13F82A" w14:textId="77777777" w:rsidR="00FD7D45" w:rsidRPr="002368D5" w:rsidRDefault="00FD7D45" w:rsidP="00E83362">
            <w:pPr>
              <w:spacing w:before="60" w:after="120" w:line="360" w:lineRule="auto"/>
              <w:rPr>
                <w:sz w:val="24"/>
                <w:szCs w:val="24"/>
              </w:rPr>
            </w:pPr>
            <w:r w:rsidRPr="002368D5">
              <w:rPr>
                <w:noProof/>
                <w:sz w:val="24"/>
                <w:szCs w:val="24"/>
                <w:lang w:val="pt-BR"/>
              </w:rPr>
              <w:t>Informação, comunicação e divulgação</w:t>
            </w:r>
          </w:p>
        </w:tc>
        <w:tc>
          <w:tcPr>
            <w:tcW w:w="4543" w:type="dxa"/>
          </w:tcPr>
          <w:p w14:paraId="4C24330E" w14:textId="77777777" w:rsidR="00FD7D45" w:rsidRPr="003E71F5" w:rsidRDefault="00FD7D45" w:rsidP="00E83362">
            <w:pPr>
              <w:spacing w:before="60" w:after="120" w:line="360" w:lineRule="auto"/>
              <w:cnfStyle w:val="000000000000" w:firstRow="0" w:lastRow="0" w:firstColumn="0" w:lastColumn="0" w:oddVBand="0" w:evenVBand="0" w:oddHBand="0" w:evenHBand="0" w:firstRowFirstColumn="0" w:firstRowLastColumn="0" w:lastRowFirstColumn="0" w:lastRowLastColumn="0"/>
              <w:rPr>
                <w:sz w:val="24"/>
                <w:szCs w:val="24"/>
                <w:lang w:val="pt-BR"/>
              </w:rPr>
            </w:pPr>
            <w:r w:rsidRPr="003E71F5">
              <w:rPr>
                <w:sz w:val="24"/>
                <w:szCs w:val="24"/>
                <w:lang w:val="pt-BR"/>
              </w:rPr>
              <w:t>Comunicação e consulta</w:t>
            </w:r>
          </w:p>
        </w:tc>
      </w:tr>
      <w:tr w:rsidR="00FD7D45" w14:paraId="6DEE83A9" w14:textId="77777777" w:rsidTr="003E71F5">
        <w:trPr>
          <w:trHeight w:val="618"/>
        </w:trPr>
        <w:tc>
          <w:tcPr>
            <w:cnfStyle w:val="001000000000" w:firstRow="0" w:lastRow="0" w:firstColumn="1" w:lastColumn="0" w:oddVBand="0" w:evenVBand="0" w:oddHBand="0" w:evenHBand="0" w:firstRowFirstColumn="0" w:firstRowLastColumn="0" w:lastRowFirstColumn="0" w:lastRowLastColumn="0"/>
            <w:tcW w:w="4544" w:type="dxa"/>
            <w:vMerge/>
          </w:tcPr>
          <w:p w14:paraId="392F8D28" w14:textId="77777777" w:rsidR="00FD7D45" w:rsidRPr="002368D5" w:rsidRDefault="00FD7D45" w:rsidP="00E83362">
            <w:pPr>
              <w:spacing w:before="60" w:after="120" w:line="360" w:lineRule="auto"/>
              <w:rPr>
                <w:noProof/>
                <w:sz w:val="24"/>
                <w:szCs w:val="24"/>
                <w:lang w:val="pt-BR"/>
              </w:rPr>
            </w:pPr>
          </w:p>
        </w:tc>
        <w:tc>
          <w:tcPr>
            <w:tcW w:w="4543" w:type="dxa"/>
          </w:tcPr>
          <w:p w14:paraId="7046F9EA" w14:textId="77777777" w:rsidR="00FD7D45" w:rsidRPr="003E71F5" w:rsidRDefault="00FD7D45" w:rsidP="00E83362">
            <w:pPr>
              <w:spacing w:before="60" w:after="120" w:line="360" w:lineRule="auto"/>
              <w:cnfStyle w:val="000000000000" w:firstRow="0" w:lastRow="0" w:firstColumn="0" w:lastColumn="0" w:oddVBand="0" w:evenVBand="0" w:oddHBand="0" w:evenHBand="0" w:firstRowFirstColumn="0" w:firstRowLastColumn="0" w:lastRowFirstColumn="0" w:lastRowLastColumn="0"/>
              <w:rPr>
                <w:sz w:val="24"/>
                <w:szCs w:val="24"/>
                <w:lang w:val="pt-BR"/>
              </w:rPr>
            </w:pPr>
            <w:r w:rsidRPr="003E71F5">
              <w:rPr>
                <w:sz w:val="24"/>
                <w:szCs w:val="24"/>
                <w:lang w:val="pt-BR"/>
              </w:rPr>
              <w:t>Registro e relato</w:t>
            </w:r>
          </w:p>
        </w:tc>
      </w:tr>
    </w:tbl>
    <w:p w14:paraId="7958AD98" w14:textId="77777777" w:rsidR="00FD7D45" w:rsidRDefault="00FD7D45" w:rsidP="00FD7D45">
      <w:pPr>
        <w:spacing w:before="60" w:after="120" w:line="360" w:lineRule="auto"/>
        <w:jc w:val="both"/>
        <w:rPr>
          <w:color w:val="FF0000"/>
          <w:sz w:val="24"/>
          <w:szCs w:val="24"/>
        </w:rPr>
      </w:pPr>
    </w:p>
    <w:p w14:paraId="5A089A33" w14:textId="77777777" w:rsidR="00FD7D45" w:rsidRPr="00C05791" w:rsidRDefault="00FD7D45" w:rsidP="00FD7D45">
      <w:pPr>
        <w:spacing w:before="60" w:after="120" w:line="360" w:lineRule="auto"/>
        <w:ind w:firstLine="720"/>
        <w:jc w:val="both"/>
        <w:rPr>
          <w:sz w:val="24"/>
          <w:szCs w:val="24"/>
        </w:rPr>
      </w:pPr>
      <w:r w:rsidRPr="00C05791">
        <w:rPr>
          <w:sz w:val="24"/>
          <w:szCs w:val="24"/>
        </w:rPr>
        <w:t>Quanto ao aspecto Integração, temos:</w:t>
      </w:r>
    </w:p>
    <w:p w14:paraId="17108BA5" w14:textId="77777777" w:rsidR="00FD7D45" w:rsidRDefault="00FD7D45" w:rsidP="00FD7D45">
      <w:pPr>
        <w:spacing w:before="60" w:after="120" w:line="360" w:lineRule="auto"/>
        <w:jc w:val="both"/>
        <w:rPr>
          <w:color w:val="FF0000"/>
          <w:sz w:val="24"/>
          <w:szCs w:val="24"/>
        </w:rPr>
      </w:pPr>
      <w:r>
        <w:rPr>
          <w:noProof/>
          <w:sz w:val="24"/>
          <w:szCs w:val="24"/>
        </w:rPr>
        <w:drawing>
          <wp:inline distT="0" distB="0" distL="0" distR="0" wp14:anchorId="01F4CB97" wp14:editId="7E083627">
            <wp:extent cx="5576570" cy="3289300"/>
            <wp:effectExtent l="0" t="0" r="4318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E7153C7" w14:textId="77777777" w:rsidR="003E71F5" w:rsidRDefault="003E71F5" w:rsidP="00FD7D45">
      <w:pPr>
        <w:pStyle w:val="Ttulo1"/>
        <w:spacing w:before="120" w:after="120"/>
        <w:ind w:left="357" w:hanging="357"/>
        <w:rPr>
          <w:sz w:val="26"/>
          <w:szCs w:val="26"/>
        </w:rPr>
      </w:pPr>
    </w:p>
    <w:p w14:paraId="70C9E8BE" w14:textId="6B412D3C" w:rsidR="00FD7D45" w:rsidRPr="00143388" w:rsidRDefault="00FD7D45" w:rsidP="00FD7D45">
      <w:pPr>
        <w:pStyle w:val="Ttulo1"/>
        <w:spacing w:before="120" w:after="120"/>
        <w:ind w:left="357" w:hanging="357"/>
        <w:rPr>
          <w:rFonts w:ascii="Calibri" w:hAnsi="Calibri" w:cs="Calibri"/>
          <w:sz w:val="26"/>
          <w:szCs w:val="26"/>
        </w:rPr>
      </w:pPr>
      <w:bookmarkStart w:id="7" w:name="_Toc74468853"/>
      <w:r w:rsidRPr="00143388">
        <w:rPr>
          <w:rFonts w:ascii="Calibri" w:hAnsi="Calibri" w:cs="Calibri"/>
          <w:sz w:val="26"/>
          <w:szCs w:val="26"/>
        </w:rPr>
        <w:t>3.3 Linhas de Defesa</w:t>
      </w:r>
      <w:bookmarkEnd w:id="7"/>
    </w:p>
    <w:p w14:paraId="0CF2BCE2" w14:textId="77777777" w:rsidR="00FD7D45" w:rsidRDefault="00FD7D45" w:rsidP="00FD7D45">
      <w:pPr>
        <w:spacing w:before="60" w:after="120" w:line="360" w:lineRule="auto"/>
        <w:ind w:firstLine="720"/>
        <w:jc w:val="both"/>
        <w:rPr>
          <w:color w:val="000000" w:themeColor="text1"/>
          <w:sz w:val="24"/>
          <w:szCs w:val="24"/>
        </w:rPr>
      </w:pPr>
    </w:p>
    <w:p w14:paraId="5744E751" w14:textId="28820CF5" w:rsidR="00FD7D45" w:rsidRPr="0003185B" w:rsidRDefault="00FD7D45" w:rsidP="00FD7D45">
      <w:pPr>
        <w:spacing w:before="60" w:after="120" w:line="360" w:lineRule="auto"/>
        <w:ind w:firstLine="720"/>
        <w:jc w:val="both"/>
        <w:rPr>
          <w:rFonts w:cstheme="minorHAnsi"/>
          <w:color w:val="000000" w:themeColor="text1"/>
          <w:sz w:val="24"/>
          <w:szCs w:val="24"/>
        </w:rPr>
      </w:pPr>
      <w:r w:rsidRPr="0003185B">
        <w:rPr>
          <w:rFonts w:cstheme="minorHAnsi"/>
          <w:color w:val="000000" w:themeColor="text1"/>
          <w:sz w:val="24"/>
          <w:szCs w:val="24"/>
        </w:rPr>
        <w:t xml:space="preserve">O Modelo de Linhas do IIA 2020 ajuda as organizações a identificar estruturas e processos que melhor auxiliam no atingimento dos seus objetivos, facilitam uma governança e um gerenciamento de riscos fortes. O modelo proposto pelo </w:t>
      </w:r>
      <w:r w:rsidRPr="0003185B">
        <w:rPr>
          <w:rFonts w:cstheme="minorHAnsi"/>
          <w:i/>
          <w:iCs/>
          <w:color w:val="000000" w:themeColor="text1"/>
          <w:sz w:val="24"/>
          <w:szCs w:val="24"/>
        </w:rPr>
        <w:t xml:space="preserve">The </w:t>
      </w:r>
      <w:proofErr w:type="spellStart"/>
      <w:r w:rsidRPr="0003185B">
        <w:rPr>
          <w:rFonts w:cstheme="minorHAnsi"/>
          <w:i/>
          <w:iCs/>
          <w:color w:val="000000" w:themeColor="text1"/>
          <w:sz w:val="24"/>
          <w:szCs w:val="24"/>
        </w:rPr>
        <w:t>Institute</w:t>
      </w:r>
      <w:proofErr w:type="spellEnd"/>
      <w:r w:rsidRPr="0003185B">
        <w:rPr>
          <w:rFonts w:cstheme="minorHAnsi"/>
          <w:i/>
          <w:iCs/>
          <w:color w:val="000000" w:themeColor="text1"/>
          <w:sz w:val="24"/>
          <w:szCs w:val="24"/>
        </w:rPr>
        <w:t xml:space="preserve"> </w:t>
      </w:r>
      <w:proofErr w:type="spellStart"/>
      <w:r w:rsidRPr="0003185B">
        <w:rPr>
          <w:rFonts w:cstheme="minorHAnsi"/>
          <w:i/>
          <w:iCs/>
          <w:color w:val="000000" w:themeColor="text1"/>
          <w:sz w:val="24"/>
          <w:szCs w:val="24"/>
        </w:rPr>
        <w:t>of</w:t>
      </w:r>
      <w:proofErr w:type="spellEnd"/>
      <w:r w:rsidRPr="0003185B">
        <w:rPr>
          <w:rFonts w:cstheme="minorHAnsi"/>
          <w:i/>
          <w:iCs/>
          <w:color w:val="000000" w:themeColor="text1"/>
          <w:sz w:val="24"/>
          <w:szCs w:val="24"/>
        </w:rPr>
        <w:t xml:space="preserve"> </w:t>
      </w:r>
      <w:proofErr w:type="spellStart"/>
      <w:r w:rsidRPr="0003185B">
        <w:rPr>
          <w:rFonts w:cstheme="minorHAnsi"/>
          <w:i/>
          <w:iCs/>
          <w:color w:val="000000" w:themeColor="text1"/>
          <w:sz w:val="24"/>
          <w:szCs w:val="24"/>
        </w:rPr>
        <w:t>Internal</w:t>
      </w:r>
      <w:proofErr w:type="spellEnd"/>
      <w:r w:rsidRPr="0003185B">
        <w:rPr>
          <w:rFonts w:cstheme="minorHAnsi"/>
          <w:i/>
          <w:iCs/>
          <w:color w:val="000000" w:themeColor="text1"/>
          <w:sz w:val="24"/>
          <w:szCs w:val="24"/>
        </w:rPr>
        <w:t xml:space="preserve"> </w:t>
      </w:r>
      <w:proofErr w:type="spellStart"/>
      <w:r w:rsidRPr="0003185B">
        <w:rPr>
          <w:rFonts w:cstheme="minorHAnsi"/>
          <w:i/>
          <w:iCs/>
          <w:color w:val="000000" w:themeColor="text1"/>
          <w:sz w:val="24"/>
          <w:szCs w:val="24"/>
        </w:rPr>
        <w:t>Auditors</w:t>
      </w:r>
      <w:proofErr w:type="spellEnd"/>
      <w:r w:rsidRPr="0003185B">
        <w:rPr>
          <w:rFonts w:cstheme="minorHAnsi"/>
          <w:i/>
          <w:iCs/>
          <w:color w:val="000000" w:themeColor="text1"/>
          <w:sz w:val="24"/>
          <w:szCs w:val="24"/>
        </w:rPr>
        <w:t xml:space="preserve"> </w:t>
      </w:r>
      <w:r w:rsidRPr="0003185B">
        <w:rPr>
          <w:rFonts w:cstheme="minorHAnsi"/>
          <w:color w:val="000000" w:themeColor="text1"/>
          <w:sz w:val="24"/>
          <w:szCs w:val="24"/>
        </w:rPr>
        <w:t>(IIA Global) é aplicável a todas as organizações e é otimizado por:</w:t>
      </w:r>
    </w:p>
    <w:p w14:paraId="096AF7A1" w14:textId="77777777" w:rsidR="00FD7D45" w:rsidRPr="0003185B" w:rsidRDefault="00FD7D45" w:rsidP="00586858">
      <w:pPr>
        <w:pStyle w:val="PargrafodaLista"/>
        <w:numPr>
          <w:ilvl w:val="0"/>
          <w:numId w:val="1"/>
        </w:numPr>
        <w:spacing w:before="60" w:after="120" w:line="360" w:lineRule="auto"/>
        <w:rPr>
          <w:rFonts w:asciiTheme="minorHAnsi" w:hAnsiTheme="minorHAnsi" w:cstheme="minorHAnsi"/>
          <w:color w:val="000000" w:themeColor="text1"/>
          <w:sz w:val="24"/>
          <w:szCs w:val="24"/>
        </w:rPr>
      </w:pPr>
      <w:r w:rsidRPr="0003185B">
        <w:rPr>
          <w:rFonts w:asciiTheme="minorHAnsi" w:hAnsiTheme="minorHAnsi" w:cstheme="minorHAnsi"/>
          <w:color w:val="000000" w:themeColor="text1"/>
          <w:sz w:val="24"/>
          <w:szCs w:val="24"/>
        </w:rPr>
        <w:t>Adotar uma abordagem baseada em princípios e adaptar o modelo para atender aos objetivos e circunstâncias organizacionais;</w:t>
      </w:r>
    </w:p>
    <w:p w14:paraId="67AA8FDC" w14:textId="77777777" w:rsidR="00FD7D45" w:rsidRPr="0003185B" w:rsidRDefault="00FD7D45" w:rsidP="00586858">
      <w:pPr>
        <w:pStyle w:val="PargrafodaLista"/>
        <w:numPr>
          <w:ilvl w:val="0"/>
          <w:numId w:val="1"/>
        </w:numPr>
        <w:spacing w:before="60" w:after="120" w:line="360" w:lineRule="auto"/>
        <w:rPr>
          <w:rFonts w:asciiTheme="minorHAnsi" w:hAnsiTheme="minorHAnsi" w:cstheme="minorHAnsi"/>
          <w:color w:val="000000" w:themeColor="text1"/>
          <w:sz w:val="24"/>
          <w:szCs w:val="24"/>
        </w:rPr>
      </w:pPr>
      <w:r w:rsidRPr="0003185B">
        <w:rPr>
          <w:rFonts w:asciiTheme="minorHAnsi" w:hAnsiTheme="minorHAnsi" w:cstheme="minorHAnsi"/>
          <w:color w:val="000000" w:themeColor="text1"/>
          <w:sz w:val="24"/>
          <w:szCs w:val="24"/>
        </w:rPr>
        <w:t>Focar na contribuição que o gerenciamento de riscos oferece para atingir objetivos e criar valor, bem como questões de “defesa” e proteção de valor;</w:t>
      </w:r>
    </w:p>
    <w:p w14:paraId="155DE9DA" w14:textId="77777777" w:rsidR="00FD7D45" w:rsidRPr="0003185B" w:rsidRDefault="00FD7D45" w:rsidP="00586858">
      <w:pPr>
        <w:pStyle w:val="PargrafodaLista"/>
        <w:numPr>
          <w:ilvl w:val="0"/>
          <w:numId w:val="1"/>
        </w:numPr>
        <w:spacing w:before="60" w:after="120" w:line="360" w:lineRule="auto"/>
        <w:rPr>
          <w:rFonts w:asciiTheme="minorHAnsi" w:hAnsiTheme="minorHAnsi" w:cstheme="minorHAnsi"/>
          <w:color w:val="000000" w:themeColor="text1"/>
          <w:sz w:val="24"/>
          <w:szCs w:val="24"/>
        </w:rPr>
      </w:pPr>
      <w:r w:rsidRPr="0003185B">
        <w:rPr>
          <w:rFonts w:asciiTheme="minorHAnsi" w:hAnsiTheme="minorHAnsi" w:cstheme="minorHAnsi"/>
          <w:color w:val="000000" w:themeColor="text1"/>
          <w:sz w:val="24"/>
          <w:szCs w:val="24"/>
        </w:rPr>
        <w:t>Compreender claramente os papéis e responsabilidades representados no modelo e os relacionamentos entre eles;</w:t>
      </w:r>
    </w:p>
    <w:p w14:paraId="4EE11E7F" w14:textId="77777777" w:rsidR="00FD7D45" w:rsidRPr="0003185B" w:rsidRDefault="00FD7D45" w:rsidP="00586858">
      <w:pPr>
        <w:pStyle w:val="PargrafodaLista"/>
        <w:numPr>
          <w:ilvl w:val="0"/>
          <w:numId w:val="1"/>
        </w:numPr>
        <w:spacing w:before="60" w:after="120" w:line="360" w:lineRule="auto"/>
        <w:rPr>
          <w:rFonts w:asciiTheme="minorHAnsi" w:hAnsiTheme="minorHAnsi" w:cstheme="minorHAnsi"/>
          <w:color w:val="000000" w:themeColor="text1"/>
          <w:sz w:val="24"/>
          <w:szCs w:val="24"/>
        </w:rPr>
      </w:pPr>
      <w:r w:rsidRPr="0003185B">
        <w:rPr>
          <w:rFonts w:asciiTheme="minorHAnsi" w:hAnsiTheme="minorHAnsi" w:cstheme="minorHAnsi"/>
          <w:color w:val="000000" w:themeColor="text1"/>
          <w:sz w:val="24"/>
          <w:szCs w:val="24"/>
        </w:rPr>
        <w:t>Implantar medidas para garantir que as atividades e os objetivos estejam alinhados com os interesses priorizados pelas partes interessadas.</w:t>
      </w:r>
    </w:p>
    <w:p w14:paraId="2D5BC0DC" w14:textId="77777777" w:rsidR="00FD7D45" w:rsidRPr="0003185B" w:rsidRDefault="00FD7D45" w:rsidP="00FD7D45">
      <w:pPr>
        <w:spacing w:before="60" w:after="120" w:line="360" w:lineRule="auto"/>
        <w:ind w:firstLine="720"/>
        <w:jc w:val="both"/>
        <w:rPr>
          <w:rFonts w:cstheme="minorHAnsi"/>
          <w:color w:val="FF0000"/>
          <w:sz w:val="24"/>
          <w:szCs w:val="24"/>
        </w:rPr>
      </w:pPr>
      <w:r w:rsidRPr="0003185B">
        <w:rPr>
          <w:rFonts w:cstheme="minorHAnsi"/>
          <w:color w:val="000000" w:themeColor="text1"/>
          <w:sz w:val="24"/>
          <w:szCs w:val="24"/>
        </w:rPr>
        <w:t xml:space="preserve">Prevê também os seguintes papéis para o corpo </w:t>
      </w:r>
      <w:proofErr w:type="spellStart"/>
      <w:r w:rsidRPr="0003185B">
        <w:rPr>
          <w:rFonts w:cstheme="minorHAnsi"/>
          <w:color w:val="000000" w:themeColor="text1"/>
          <w:sz w:val="24"/>
          <w:szCs w:val="24"/>
        </w:rPr>
        <w:t>administrtivo</w:t>
      </w:r>
      <w:proofErr w:type="spellEnd"/>
      <w:r w:rsidRPr="0003185B">
        <w:rPr>
          <w:rFonts w:cstheme="minorHAnsi"/>
          <w:color w:val="000000" w:themeColor="text1"/>
          <w:sz w:val="24"/>
          <w:szCs w:val="24"/>
        </w:rPr>
        <w:t>: (a) aceita prestação de contas pela supervisão da organização perante os interessados</w:t>
      </w:r>
      <w:r w:rsidRPr="0003185B">
        <w:rPr>
          <w:rFonts w:cstheme="minorHAnsi"/>
          <w:i/>
          <w:iCs/>
          <w:color w:val="000000" w:themeColor="text1"/>
          <w:sz w:val="24"/>
          <w:szCs w:val="24"/>
        </w:rPr>
        <w:t>;</w:t>
      </w:r>
      <w:r w:rsidRPr="0003185B">
        <w:rPr>
          <w:rFonts w:cstheme="minorHAnsi"/>
          <w:color w:val="000000" w:themeColor="text1"/>
          <w:sz w:val="24"/>
          <w:szCs w:val="24"/>
        </w:rPr>
        <w:t xml:space="preserve"> (b) envolve os interessados, para monitorar seus interesses e se comunicar de forma transparente sobre o atingimento dos objetivos; (c) cultiva uma cultura que promove comportamento ético e responsabilidade; (d) estabelece estruturas e processos para governança, incluindo comitês auxiliares, conforme necessário; (e) delega responsabilidades e oferece recursos à gestão para atingir os objetivos da organização; (f) determina o apetite organizacional a riscos e exerce a supervisão do gerenciamento de riscos (incluindo controle interno); (g) mantém a supervisão da conformidade com as expectativas legais, regulatórias e éticas; e (h) estabelece e supervisiona uma função de auditoria interna independente, objetiva e competente</w:t>
      </w:r>
      <w:r w:rsidRPr="0003185B">
        <w:rPr>
          <w:rFonts w:cstheme="minorHAnsi"/>
          <w:color w:val="FF0000"/>
          <w:sz w:val="24"/>
          <w:szCs w:val="24"/>
        </w:rPr>
        <w:t xml:space="preserve">. </w:t>
      </w:r>
    </w:p>
    <w:p w14:paraId="34027FC7" w14:textId="77777777" w:rsidR="00FD7D45" w:rsidRPr="0003185B" w:rsidRDefault="00FD7D45" w:rsidP="00FD7D45">
      <w:pPr>
        <w:spacing w:before="60" w:after="120" w:line="360" w:lineRule="auto"/>
        <w:ind w:firstLine="720"/>
        <w:jc w:val="both"/>
        <w:rPr>
          <w:rFonts w:cstheme="minorHAnsi"/>
          <w:color w:val="000000" w:themeColor="text1"/>
          <w:sz w:val="24"/>
          <w:szCs w:val="24"/>
        </w:rPr>
      </w:pPr>
      <w:r w:rsidRPr="0003185B">
        <w:rPr>
          <w:rFonts w:cstheme="minorHAnsi"/>
          <w:sz w:val="24"/>
          <w:szCs w:val="24"/>
        </w:rPr>
        <w:t xml:space="preserve">Ainda de acordo com o IIA </w:t>
      </w:r>
      <w:r w:rsidRPr="0003185B">
        <w:rPr>
          <w:rFonts w:cstheme="minorHAnsi"/>
          <w:color w:val="000000" w:themeColor="text1"/>
          <w:sz w:val="24"/>
          <w:szCs w:val="24"/>
        </w:rPr>
        <w:t>Global, os papéis das linhas de defesa são:</w:t>
      </w:r>
    </w:p>
    <w:p w14:paraId="5EECD68C" w14:textId="77777777" w:rsidR="00FD7D45" w:rsidRPr="0003185B" w:rsidRDefault="00FD7D45" w:rsidP="00FD7D45">
      <w:pPr>
        <w:spacing w:before="60" w:after="120" w:line="360" w:lineRule="auto"/>
        <w:jc w:val="both"/>
        <w:rPr>
          <w:rFonts w:cstheme="minorHAnsi"/>
          <w:b/>
          <w:bCs/>
          <w:sz w:val="24"/>
          <w:szCs w:val="24"/>
        </w:rPr>
      </w:pPr>
      <w:r w:rsidRPr="0003185B">
        <w:rPr>
          <w:rFonts w:cstheme="minorHAnsi"/>
          <w:b/>
          <w:bCs/>
          <w:sz w:val="24"/>
          <w:szCs w:val="24"/>
        </w:rPr>
        <w:t xml:space="preserve">Primeira linha: </w:t>
      </w:r>
      <w:r w:rsidRPr="0003185B">
        <w:rPr>
          <w:rFonts w:cstheme="minorHAnsi"/>
          <w:bCs/>
          <w:sz w:val="24"/>
          <w:szCs w:val="24"/>
        </w:rPr>
        <w:t>(a) liderar e dirigir ações (incluindo gerenciamento de riscos) e aplicação de recursos para atingir os objetivos da organização; (b) manter um diálogo contínuo com o corpo administrativo e reportar resultados planejados, reais e esperados, vinculados aos objetivos da organização; (c) estabelecer e manter estruturas e processos apropriados para o gerenciamento de operações e riscos (incluindo controle interno); e (d) garantir a conformidade com as expectativas legais, regulatórias e éticas.</w:t>
      </w:r>
    </w:p>
    <w:p w14:paraId="3EEFB038" w14:textId="1C944B7F" w:rsidR="00FD7D45" w:rsidRPr="0003185B" w:rsidRDefault="00FD7D45" w:rsidP="00FD7D45">
      <w:pPr>
        <w:spacing w:before="60" w:after="120" w:line="360" w:lineRule="auto"/>
        <w:jc w:val="both"/>
        <w:rPr>
          <w:rFonts w:cstheme="minorHAnsi"/>
          <w:sz w:val="24"/>
          <w:szCs w:val="24"/>
        </w:rPr>
      </w:pPr>
      <w:r w:rsidRPr="0003185B">
        <w:rPr>
          <w:rFonts w:cstheme="minorHAnsi"/>
          <w:b/>
          <w:bCs/>
          <w:sz w:val="24"/>
          <w:szCs w:val="24"/>
        </w:rPr>
        <w:t>Segunda linha</w:t>
      </w:r>
      <w:r w:rsidRPr="0003185B">
        <w:rPr>
          <w:rFonts w:cstheme="minorHAnsi"/>
          <w:sz w:val="24"/>
          <w:szCs w:val="24"/>
        </w:rPr>
        <w:t xml:space="preserve">: (a) </w:t>
      </w:r>
      <w:proofErr w:type="spellStart"/>
      <w:r w:rsidRPr="0003185B">
        <w:rPr>
          <w:rFonts w:cstheme="minorHAnsi"/>
          <w:sz w:val="24"/>
          <w:szCs w:val="24"/>
        </w:rPr>
        <w:t>fornecer</w:t>
      </w:r>
      <w:proofErr w:type="spellEnd"/>
      <w:r w:rsidR="006F5E55" w:rsidRPr="0003185B">
        <w:rPr>
          <w:rFonts w:cstheme="minorHAnsi"/>
          <w:sz w:val="24"/>
          <w:szCs w:val="24"/>
        </w:rPr>
        <w:t xml:space="preserve"> </w:t>
      </w:r>
      <w:r w:rsidRPr="0003185B">
        <w:rPr>
          <w:rFonts w:cstheme="minorHAnsi"/>
          <w:sz w:val="24"/>
          <w:szCs w:val="24"/>
        </w:rPr>
        <w:t>expertise complementar, apoio, monitoramento e questionamento quanto ao gerenciamento de riscos, incluindo: (i) o desenvolvimento, implantação e melhoria contínua das práticas de gerenciamento de riscos (incluindo controle interno) nos níveis de processo, sistemas e entidade; (</w:t>
      </w:r>
      <w:proofErr w:type="spellStart"/>
      <w:r w:rsidRPr="0003185B">
        <w:rPr>
          <w:rFonts w:cstheme="minorHAnsi"/>
          <w:sz w:val="24"/>
          <w:szCs w:val="24"/>
        </w:rPr>
        <w:t>ii</w:t>
      </w:r>
      <w:proofErr w:type="spellEnd"/>
      <w:r w:rsidRPr="0003185B">
        <w:rPr>
          <w:rFonts w:cstheme="minorHAnsi"/>
          <w:sz w:val="24"/>
          <w:szCs w:val="24"/>
        </w:rPr>
        <w:t xml:space="preserve">) atingimento dos objetivos de gerenciamento de riscos, como: conformidade com leis, regulamentos e comportamento ético aceitável; controle interno; segurança da informação e tecnologia; sustentabilidade; e avaliação da qualidade; e (b) </w:t>
      </w:r>
      <w:proofErr w:type="spellStart"/>
      <w:r w:rsidRPr="0003185B">
        <w:rPr>
          <w:rFonts w:cstheme="minorHAnsi"/>
          <w:sz w:val="24"/>
          <w:szCs w:val="24"/>
        </w:rPr>
        <w:t>fornecer</w:t>
      </w:r>
      <w:proofErr w:type="spellEnd"/>
      <w:r w:rsidRPr="0003185B">
        <w:rPr>
          <w:rFonts w:cstheme="minorHAnsi"/>
          <w:sz w:val="24"/>
          <w:szCs w:val="24"/>
        </w:rPr>
        <w:t xml:space="preserve"> análises e reportar sobre a adequação e eficácia do gerenciamento de riscos (incluindo controle interno).</w:t>
      </w:r>
    </w:p>
    <w:p w14:paraId="0C483BC0" w14:textId="77777777" w:rsidR="00FD7D45" w:rsidRPr="0003185B" w:rsidRDefault="00FD7D45" w:rsidP="00FD7D45">
      <w:pPr>
        <w:spacing w:before="60" w:after="120" w:line="360" w:lineRule="auto"/>
        <w:jc w:val="both"/>
        <w:rPr>
          <w:rFonts w:cstheme="minorHAnsi"/>
          <w:sz w:val="24"/>
          <w:szCs w:val="24"/>
        </w:rPr>
      </w:pPr>
      <w:r w:rsidRPr="0003185B">
        <w:rPr>
          <w:rFonts w:cstheme="minorHAnsi"/>
          <w:b/>
          <w:bCs/>
          <w:color w:val="000000" w:themeColor="text1"/>
          <w:sz w:val="24"/>
          <w:szCs w:val="24"/>
        </w:rPr>
        <w:t>Auditoria interna</w:t>
      </w:r>
      <w:r w:rsidRPr="0003185B">
        <w:rPr>
          <w:rFonts w:cstheme="minorHAnsi"/>
          <w:color w:val="000000" w:themeColor="text1"/>
          <w:sz w:val="24"/>
          <w:szCs w:val="24"/>
        </w:rPr>
        <w:t xml:space="preserve">: (a) mantém a prestação de contas primária perante o corpo administrativo e a independência das responsabilidades </w:t>
      </w:r>
      <w:r w:rsidRPr="0003185B">
        <w:rPr>
          <w:rFonts w:cstheme="minorHAnsi"/>
          <w:sz w:val="24"/>
          <w:szCs w:val="24"/>
        </w:rPr>
        <w:t>da gestão; (b) comunica avaliação e assessoria independentes e objetivas à gestão e ao corpo administrativo sobre a adequação e eficácia da governança e do gerenciamento de riscos (incluindo controle interno), para apoiar o atingimento dos objetivos organizacionais e promover e facilitar a melhoria contínua; e (c) reporta ao corpo administrativo prejuízos à independência e objetividade e implanta salvaguardas conforme necessário.</w:t>
      </w:r>
    </w:p>
    <w:p w14:paraId="4A28DB56" w14:textId="1E1F38D3" w:rsidR="00FD7D45" w:rsidRPr="0003185B" w:rsidRDefault="00FD7D45" w:rsidP="00FD7D45">
      <w:pPr>
        <w:spacing w:before="60" w:after="120" w:line="360" w:lineRule="auto"/>
        <w:jc w:val="both"/>
        <w:rPr>
          <w:rFonts w:cstheme="minorHAnsi"/>
          <w:sz w:val="24"/>
          <w:szCs w:val="24"/>
        </w:rPr>
      </w:pPr>
      <w:r w:rsidRPr="0003185B">
        <w:rPr>
          <w:rFonts w:cstheme="minorHAnsi"/>
          <w:b/>
          <w:bCs/>
          <w:color w:val="000000" w:themeColor="text1"/>
          <w:sz w:val="24"/>
          <w:szCs w:val="24"/>
        </w:rPr>
        <w:t>Prestadores externos de avaliação</w:t>
      </w:r>
      <w:r w:rsidRPr="0003185B">
        <w:rPr>
          <w:rFonts w:cstheme="minorHAnsi"/>
          <w:color w:val="000000" w:themeColor="text1"/>
          <w:sz w:val="24"/>
          <w:szCs w:val="24"/>
        </w:rPr>
        <w:t xml:space="preserve">: prestam avaliação adicional para: (a) cumprir </w:t>
      </w:r>
      <w:r w:rsidRPr="0003185B">
        <w:rPr>
          <w:rFonts w:cstheme="minorHAnsi"/>
          <w:sz w:val="24"/>
          <w:szCs w:val="24"/>
        </w:rPr>
        <w:t xml:space="preserve">com as expectativas legislativas e regulatórias que servem para proteger os interesses das partes </w:t>
      </w:r>
      <w:r w:rsidR="0003185B" w:rsidRPr="0003185B">
        <w:rPr>
          <w:rFonts w:cstheme="minorHAnsi"/>
          <w:sz w:val="24"/>
          <w:szCs w:val="24"/>
        </w:rPr>
        <w:t>interessadas</w:t>
      </w:r>
      <w:r w:rsidRPr="0003185B">
        <w:rPr>
          <w:rFonts w:cstheme="minorHAnsi"/>
          <w:sz w:val="24"/>
          <w:szCs w:val="24"/>
        </w:rPr>
        <w:t>; e (b) atender aos pedidos da gestão e do corpo administrativo para complementar as fontes internas de avaliação.</w:t>
      </w:r>
    </w:p>
    <w:p w14:paraId="1C7360FD" w14:textId="77777777" w:rsidR="00FD7D45" w:rsidRDefault="00FD7D45" w:rsidP="00FD7D45">
      <w:pPr>
        <w:spacing w:before="60" w:after="120" w:line="360" w:lineRule="auto"/>
        <w:ind w:firstLine="720"/>
        <w:jc w:val="both"/>
        <w:rPr>
          <w:sz w:val="24"/>
          <w:szCs w:val="24"/>
        </w:rPr>
      </w:pPr>
    </w:p>
    <w:p w14:paraId="115C8F39" w14:textId="77777777" w:rsidR="00FD7D45" w:rsidRPr="0099694A" w:rsidRDefault="00FD7D45" w:rsidP="00586858">
      <w:pPr>
        <w:pStyle w:val="Ttulo1"/>
        <w:numPr>
          <w:ilvl w:val="0"/>
          <w:numId w:val="4"/>
        </w:numPr>
        <w:spacing w:before="120" w:after="120"/>
        <w:rPr>
          <w:b/>
          <w:bCs/>
          <w:sz w:val="26"/>
          <w:szCs w:val="26"/>
        </w:rPr>
      </w:pPr>
      <w:bookmarkStart w:id="8" w:name="_Toc74468854"/>
      <w:r w:rsidRPr="0099694A">
        <w:rPr>
          <w:b/>
          <w:bCs/>
          <w:sz w:val="26"/>
          <w:szCs w:val="26"/>
        </w:rPr>
        <w:t>ESTRUTURA DE GOVERNANÇA DE GESTÃO DE RISCOS NO MS</w:t>
      </w:r>
      <w:bookmarkEnd w:id="8"/>
    </w:p>
    <w:p w14:paraId="26EF31DC" w14:textId="77777777" w:rsidR="00FD7D45" w:rsidRDefault="00FD7D45" w:rsidP="00FD7D45">
      <w:pPr>
        <w:spacing w:before="60" w:after="120" w:line="360" w:lineRule="auto"/>
        <w:ind w:firstLine="720"/>
        <w:jc w:val="both"/>
        <w:rPr>
          <w:sz w:val="24"/>
          <w:szCs w:val="24"/>
        </w:rPr>
      </w:pPr>
    </w:p>
    <w:p w14:paraId="41588895" w14:textId="77777777" w:rsidR="00FD7D45" w:rsidRDefault="00FD7D45" w:rsidP="00FD7D45">
      <w:pPr>
        <w:spacing w:before="60" w:after="120" w:line="360" w:lineRule="auto"/>
        <w:ind w:firstLine="720"/>
        <w:jc w:val="both"/>
        <w:rPr>
          <w:sz w:val="24"/>
          <w:szCs w:val="24"/>
        </w:rPr>
      </w:pPr>
      <w:r>
        <w:rPr>
          <w:sz w:val="24"/>
          <w:szCs w:val="24"/>
        </w:rPr>
        <w:t>A estrutura de governança é definida na Política de Gestão de Riscos, bem como a sua composição e as suas competências.</w:t>
      </w:r>
    </w:p>
    <w:p w14:paraId="7C7C96CA" w14:textId="03F08F46" w:rsidR="00FD7D45" w:rsidRDefault="00FD7D45" w:rsidP="00FD7D45">
      <w:pPr>
        <w:spacing w:before="60" w:after="120" w:line="360" w:lineRule="auto"/>
        <w:ind w:firstLine="720"/>
        <w:jc w:val="both"/>
        <w:rPr>
          <w:color w:val="000000" w:themeColor="text1"/>
          <w:sz w:val="24"/>
          <w:szCs w:val="24"/>
        </w:rPr>
      </w:pPr>
      <w:r w:rsidRPr="00A81138">
        <w:rPr>
          <w:sz w:val="24"/>
          <w:szCs w:val="24"/>
        </w:rPr>
        <w:t>A definição clara de papéis e responsabilidades</w:t>
      </w:r>
      <w:r>
        <w:rPr>
          <w:sz w:val="24"/>
          <w:szCs w:val="24"/>
        </w:rPr>
        <w:t xml:space="preserve"> </w:t>
      </w:r>
      <w:r w:rsidR="00A26C5D">
        <w:rPr>
          <w:sz w:val="24"/>
          <w:szCs w:val="24"/>
        </w:rPr>
        <w:t>propiciam</w:t>
      </w:r>
      <w:r>
        <w:rPr>
          <w:sz w:val="24"/>
          <w:szCs w:val="24"/>
        </w:rPr>
        <w:t xml:space="preserve"> uma</w:t>
      </w:r>
      <w:r w:rsidRPr="00B03839">
        <w:rPr>
          <w:color w:val="000000" w:themeColor="text1"/>
          <w:sz w:val="24"/>
          <w:szCs w:val="24"/>
        </w:rPr>
        <w:t xml:space="preserve"> melhor coordenação entre as diversas </w:t>
      </w:r>
      <w:r>
        <w:rPr>
          <w:color w:val="000000" w:themeColor="text1"/>
          <w:sz w:val="24"/>
          <w:szCs w:val="24"/>
        </w:rPr>
        <w:t>partes interessadas na gestão de riscos</w:t>
      </w:r>
      <w:r w:rsidRPr="00B03839">
        <w:rPr>
          <w:color w:val="000000" w:themeColor="text1"/>
          <w:sz w:val="24"/>
          <w:szCs w:val="24"/>
        </w:rPr>
        <w:t xml:space="preserve">, bem como detalha </w:t>
      </w:r>
      <w:r>
        <w:rPr>
          <w:color w:val="000000" w:themeColor="text1"/>
          <w:sz w:val="24"/>
          <w:szCs w:val="24"/>
        </w:rPr>
        <w:t xml:space="preserve">as </w:t>
      </w:r>
      <w:r w:rsidRPr="00B03839">
        <w:rPr>
          <w:color w:val="000000" w:themeColor="text1"/>
          <w:sz w:val="24"/>
          <w:szCs w:val="24"/>
        </w:rPr>
        <w:t>responsabilidades des</w:t>
      </w:r>
      <w:r>
        <w:rPr>
          <w:color w:val="000000" w:themeColor="text1"/>
          <w:sz w:val="24"/>
          <w:szCs w:val="24"/>
        </w:rPr>
        <w:t xml:space="preserve">sas partes </w:t>
      </w:r>
      <w:r w:rsidRPr="00B03839">
        <w:rPr>
          <w:color w:val="000000" w:themeColor="text1"/>
          <w:sz w:val="24"/>
          <w:szCs w:val="24"/>
        </w:rPr>
        <w:t xml:space="preserve">de </w:t>
      </w:r>
      <w:r>
        <w:rPr>
          <w:color w:val="000000" w:themeColor="text1"/>
          <w:sz w:val="24"/>
          <w:szCs w:val="24"/>
        </w:rPr>
        <w:t>forma q</w:t>
      </w:r>
      <w:r w:rsidRPr="00B03839">
        <w:rPr>
          <w:color w:val="000000" w:themeColor="text1"/>
          <w:sz w:val="24"/>
          <w:szCs w:val="24"/>
        </w:rPr>
        <w:t>ue as ações ocorram de forma sistêmica e complementar</w:t>
      </w:r>
      <w:r>
        <w:rPr>
          <w:color w:val="000000" w:themeColor="text1"/>
          <w:sz w:val="24"/>
          <w:szCs w:val="24"/>
        </w:rPr>
        <w:t>.</w:t>
      </w:r>
    </w:p>
    <w:p w14:paraId="50AD4610" w14:textId="77777777" w:rsidR="00A26C5D" w:rsidRDefault="00FD7D45" w:rsidP="00A26C5D">
      <w:pPr>
        <w:spacing w:before="60" w:after="120" w:line="360" w:lineRule="auto"/>
        <w:ind w:firstLine="720"/>
        <w:jc w:val="both"/>
        <w:rPr>
          <w:color w:val="000000" w:themeColor="text1"/>
          <w:sz w:val="24"/>
          <w:szCs w:val="24"/>
        </w:rPr>
      </w:pPr>
      <w:r>
        <w:rPr>
          <w:color w:val="000000" w:themeColor="text1"/>
          <w:sz w:val="24"/>
          <w:szCs w:val="24"/>
        </w:rPr>
        <w:t>A</w:t>
      </w:r>
      <w:r w:rsidRPr="00B03839">
        <w:rPr>
          <w:color w:val="000000" w:themeColor="text1"/>
          <w:sz w:val="24"/>
          <w:szCs w:val="24"/>
        </w:rPr>
        <w:t xml:space="preserve"> presente metodologia </w:t>
      </w:r>
      <w:r>
        <w:rPr>
          <w:color w:val="000000" w:themeColor="text1"/>
          <w:sz w:val="24"/>
          <w:szCs w:val="24"/>
        </w:rPr>
        <w:t xml:space="preserve">considera </w:t>
      </w:r>
      <w:r w:rsidRPr="00B03839">
        <w:rPr>
          <w:color w:val="000000" w:themeColor="text1"/>
          <w:sz w:val="24"/>
          <w:szCs w:val="24"/>
        </w:rPr>
        <w:t>o modelo das linhas de defesas, e defin</w:t>
      </w:r>
      <w:r>
        <w:rPr>
          <w:color w:val="000000" w:themeColor="text1"/>
          <w:sz w:val="24"/>
          <w:szCs w:val="24"/>
        </w:rPr>
        <w:t>e a</w:t>
      </w:r>
      <w:r w:rsidRPr="00B03839">
        <w:rPr>
          <w:color w:val="000000" w:themeColor="text1"/>
          <w:sz w:val="24"/>
          <w:szCs w:val="24"/>
        </w:rPr>
        <w:t xml:space="preserve"> seguinte estrutura, aplicada à gestão de riscos</w:t>
      </w:r>
      <w:r>
        <w:rPr>
          <w:color w:val="000000" w:themeColor="text1"/>
          <w:sz w:val="24"/>
          <w:szCs w:val="24"/>
        </w:rPr>
        <w:t xml:space="preserve">, </w:t>
      </w:r>
      <w:r w:rsidRPr="00B03839">
        <w:rPr>
          <w:color w:val="000000" w:themeColor="text1"/>
          <w:sz w:val="24"/>
          <w:szCs w:val="24"/>
        </w:rPr>
        <w:t>no Ministério da Saúde</w:t>
      </w:r>
      <w:r w:rsidR="00A26C5D">
        <w:rPr>
          <w:color w:val="000000" w:themeColor="text1"/>
          <w:sz w:val="24"/>
          <w:szCs w:val="24"/>
        </w:rPr>
        <w:t>.</w:t>
      </w:r>
    </w:p>
    <w:p w14:paraId="76DDC316" w14:textId="741C930C" w:rsidR="00A26C5D" w:rsidRDefault="00A26C5D" w:rsidP="00414372">
      <w:pPr>
        <w:spacing w:before="60" w:after="120" w:line="360" w:lineRule="auto"/>
        <w:ind w:firstLine="720"/>
        <w:jc w:val="center"/>
        <w:rPr>
          <w:color w:val="000000" w:themeColor="text1"/>
          <w:sz w:val="24"/>
          <w:szCs w:val="24"/>
        </w:rPr>
      </w:pPr>
      <w:r w:rsidRPr="00CB3DDF">
        <w:rPr>
          <w:sz w:val="24"/>
          <w:szCs w:val="24"/>
        </w:rPr>
        <w:t xml:space="preserve">Figura </w:t>
      </w:r>
      <w:r>
        <w:rPr>
          <w:sz w:val="24"/>
          <w:szCs w:val="24"/>
        </w:rPr>
        <w:t>3</w:t>
      </w:r>
      <w:r w:rsidRPr="00CB3DDF">
        <w:rPr>
          <w:sz w:val="24"/>
          <w:szCs w:val="24"/>
        </w:rPr>
        <w:t xml:space="preserve"> – </w:t>
      </w:r>
      <w:r>
        <w:rPr>
          <w:sz w:val="24"/>
          <w:szCs w:val="24"/>
        </w:rPr>
        <w:t>Linhas de Defesa</w:t>
      </w:r>
      <w:r>
        <w:rPr>
          <w:sz w:val="24"/>
          <w:szCs w:val="24"/>
        </w:rPr>
        <w:t xml:space="preserve"> (Fonte:</w:t>
      </w:r>
      <w:r>
        <w:rPr>
          <w:sz w:val="24"/>
          <w:szCs w:val="24"/>
        </w:rPr>
        <w:t xml:space="preserve"> </w:t>
      </w:r>
      <w:r w:rsidR="00414372">
        <w:rPr>
          <w:sz w:val="24"/>
          <w:szCs w:val="24"/>
        </w:rPr>
        <w:t xml:space="preserve">adaptação </w:t>
      </w:r>
      <w:r w:rsidRPr="0003185B">
        <w:rPr>
          <w:rFonts w:cstheme="minorHAnsi"/>
          <w:color w:val="000000" w:themeColor="text1"/>
          <w:sz w:val="24"/>
          <w:szCs w:val="24"/>
        </w:rPr>
        <w:t>IIA 2020</w:t>
      </w:r>
      <w:r>
        <w:rPr>
          <w:sz w:val="24"/>
          <w:szCs w:val="24"/>
        </w:rPr>
        <w:t>)</w:t>
      </w:r>
    </w:p>
    <w:p w14:paraId="076CF178" w14:textId="5689C8E8" w:rsidR="00FD7D45" w:rsidRDefault="006F5E55" w:rsidP="00FD7D45">
      <w:pPr>
        <w:spacing w:before="60" w:after="120" w:line="360" w:lineRule="auto"/>
        <w:jc w:val="both"/>
        <w:rPr>
          <w:color w:val="000000" w:themeColor="text1"/>
          <w:sz w:val="24"/>
          <w:szCs w:val="24"/>
        </w:rPr>
      </w:pPr>
      <w:r w:rsidRPr="006F5E55">
        <w:rPr>
          <w:noProof/>
        </w:rPr>
        <w:drawing>
          <wp:inline distT="0" distB="0" distL="0" distR="0" wp14:anchorId="5052B186" wp14:editId="1A960C21">
            <wp:extent cx="5759450" cy="4237990"/>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4237990"/>
                    </a:xfrm>
                    <a:prstGeom prst="rect">
                      <a:avLst/>
                    </a:prstGeom>
                    <a:noFill/>
                    <a:ln>
                      <a:noFill/>
                    </a:ln>
                  </pic:spPr>
                </pic:pic>
              </a:graphicData>
            </a:graphic>
          </wp:inline>
        </w:drawing>
      </w:r>
    </w:p>
    <w:p w14:paraId="1491311F" w14:textId="77777777" w:rsidR="00FD7D45" w:rsidRDefault="00FD7D45" w:rsidP="00FD7D45">
      <w:pPr>
        <w:spacing w:before="60" w:after="120" w:line="360" w:lineRule="auto"/>
        <w:ind w:left="708"/>
        <w:jc w:val="both"/>
        <w:rPr>
          <w:sz w:val="24"/>
          <w:szCs w:val="24"/>
        </w:rPr>
      </w:pPr>
      <w:r w:rsidRPr="00881E22">
        <w:rPr>
          <w:noProof/>
          <w:sz w:val="24"/>
          <w:szCs w:val="24"/>
        </w:rPr>
        <mc:AlternateContent>
          <mc:Choice Requires="wps">
            <w:drawing>
              <wp:anchor distT="0" distB="0" distL="114300" distR="114300" simplePos="0" relativeHeight="251664384" behindDoc="0" locked="0" layoutInCell="1" allowOverlap="1" wp14:anchorId="6DE7D4E8" wp14:editId="71DFB839">
                <wp:simplePos x="0" y="0"/>
                <wp:positionH relativeFrom="column">
                  <wp:posOffset>688340</wp:posOffset>
                </wp:positionH>
                <wp:positionV relativeFrom="paragraph">
                  <wp:posOffset>228876</wp:posOffset>
                </wp:positionV>
                <wp:extent cx="1839595" cy="307340"/>
                <wp:effectExtent l="0" t="0" r="0" b="0"/>
                <wp:wrapNone/>
                <wp:docPr id="35" name="CaixaDeTexto 34">
                  <a:extLst xmlns:a="http://schemas.openxmlformats.org/drawingml/2006/main">
                    <a:ext uri="{FF2B5EF4-FFF2-40B4-BE49-F238E27FC236}">
                      <a16:creationId xmlns:a16="http://schemas.microsoft.com/office/drawing/2014/main" id="{F2AF24AD-0384-4C1C-979B-A957DF17D69D}"/>
                    </a:ext>
                  </a:extLst>
                </wp:docPr>
                <wp:cNvGraphicFramePr/>
                <a:graphic xmlns:a="http://schemas.openxmlformats.org/drawingml/2006/main">
                  <a:graphicData uri="http://schemas.microsoft.com/office/word/2010/wordprocessingShape">
                    <wps:wsp>
                      <wps:cNvSpPr txBox="1"/>
                      <wps:spPr>
                        <a:xfrm>
                          <a:off x="0" y="0"/>
                          <a:ext cx="1839595" cy="307340"/>
                        </a:xfrm>
                        <a:prstGeom prst="rect">
                          <a:avLst/>
                        </a:prstGeom>
                        <a:noFill/>
                      </wps:spPr>
                      <wps:txbx>
                        <w:txbxContent>
                          <w:p w14:paraId="589C5268" w14:textId="77777777" w:rsidR="00FD7D45" w:rsidRPr="006F5E55" w:rsidRDefault="00FD7D45" w:rsidP="00FD7D45">
                            <w:pPr>
                              <w:rPr>
                                <w:sz w:val="20"/>
                                <w:szCs w:val="20"/>
                              </w:rPr>
                            </w:pPr>
                            <w:r w:rsidRPr="006F5E55">
                              <w:rPr>
                                <w:rFonts w:hAnsi="Calibri"/>
                                <w:kern w:val="24"/>
                                <w:sz w:val="20"/>
                                <w:szCs w:val="20"/>
                              </w:rPr>
                              <w:t xml:space="preserve">Prestação de </w:t>
                            </w:r>
                            <w:r w:rsidRPr="006F5E55">
                              <w:rPr>
                                <w:kern w:val="24"/>
                                <w:sz w:val="20"/>
                                <w:szCs w:val="20"/>
                              </w:rPr>
                              <w:t>Contas</w:t>
                            </w:r>
                          </w:p>
                        </w:txbxContent>
                      </wps:txbx>
                      <wps:bodyPr wrap="square" rtlCol="0">
                        <a:spAutoFit/>
                      </wps:bodyPr>
                    </wps:wsp>
                  </a:graphicData>
                </a:graphic>
              </wp:anchor>
            </w:drawing>
          </mc:Choice>
          <mc:Fallback>
            <w:pict>
              <v:shape w14:anchorId="6DE7D4E8" id="CaixaDeTexto 34" o:spid="_x0000_s1027" type="#_x0000_t202" style="position:absolute;left:0;text-align:left;margin-left:54.2pt;margin-top:18pt;width:144.85pt;height:24.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" filled="f" stroked="f">
                <v:textbox style="mso-fit-shape-to-text:t">
                  <w:txbxContent>
                    <w:p w14:paraId="589C5268" w14:textId="77777777" w:rsidR="00FD7D45" w:rsidRPr="006F5E55" w:rsidRDefault="00FD7D45" w:rsidP="00FD7D45">
                      <w:pPr>
                        <w:rPr>
                          <w:sz w:val="20"/>
                          <w:szCs w:val="20"/>
                        </w:rPr>
                      </w:pPr>
                      <w:r w:rsidRPr="006F5E55">
                        <w:rPr>
                          <w:rFonts w:hAnsi="Calibri"/>
                          <w:kern w:val="24"/>
                          <w:sz w:val="20"/>
                          <w:szCs w:val="20"/>
                        </w:rPr>
                        <w:t xml:space="preserve">Prestação de </w:t>
                      </w:r>
                      <w:r w:rsidRPr="006F5E55">
                        <w:rPr>
                          <w:kern w:val="24"/>
                          <w:sz w:val="20"/>
                          <w:szCs w:val="20"/>
                        </w:rPr>
                        <w:t>Contas</w:t>
                      </w:r>
                    </w:p>
                  </w:txbxContent>
                </v:textbox>
              </v:shape>
            </w:pict>
          </mc:Fallback>
        </mc:AlternateContent>
      </w:r>
      <w:r w:rsidRPr="00881E22">
        <w:rPr>
          <w:noProof/>
          <w:sz w:val="24"/>
          <w:szCs w:val="24"/>
        </w:rPr>
        <mc:AlternateContent>
          <mc:Choice Requires="wps">
            <w:drawing>
              <wp:anchor distT="0" distB="0" distL="114300" distR="114300" simplePos="0" relativeHeight="251660288" behindDoc="0" locked="0" layoutInCell="1" allowOverlap="1" wp14:anchorId="2EAB5653" wp14:editId="7953901F">
                <wp:simplePos x="0" y="0"/>
                <wp:positionH relativeFrom="column">
                  <wp:posOffset>389200</wp:posOffset>
                </wp:positionH>
                <wp:positionV relativeFrom="paragraph">
                  <wp:posOffset>276335</wp:posOffset>
                </wp:positionV>
                <wp:extent cx="360000" cy="172279"/>
                <wp:effectExtent l="57150" t="38100" r="2540" b="75565"/>
                <wp:wrapNone/>
                <wp:docPr id="9" name="Seta: para Baixo 27"/>
                <wp:cNvGraphicFramePr/>
                <a:graphic xmlns:a="http://schemas.openxmlformats.org/drawingml/2006/main">
                  <a:graphicData uri="http://schemas.microsoft.com/office/word/2010/wordprocessingShape">
                    <wps:wsp>
                      <wps:cNvSpPr/>
                      <wps:spPr>
                        <a:xfrm>
                          <a:off x="0" y="0"/>
                          <a:ext cx="360000" cy="172279"/>
                        </a:xfrm>
                        <a:prstGeom prst="downArrow">
                          <a:avLst/>
                        </a:prstGeom>
                        <a:ln/>
                      </wps:spPr>
                      <wps:style>
                        <a:lnRef idx="0">
                          <a:schemeClr val="accent1"/>
                        </a:lnRef>
                        <a:fillRef idx="3">
                          <a:schemeClr val="accent1"/>
                        </a:fillRef>
                        <a:effectRef idx="3">
                          <a:schemeClr val="accent1"/>
                        </a:effectRef>
                        <a:fontRef idx="minor">
                          <a:schemeClr val="lt1"/>
                        </a:fontRef>
                      </wps:style>
                      <wps:bodyPr rtlCol="0" anchor="ctr"/>
                    </wps:wsp>
                  </a:graphicData>
                </a:graphic>
                <wp14:sizeRelV relativeFrom="margin">
                  <wp14:pctHeight>0</wp14:pctHeight>
                </wp14:sizeRelV>
              </wp:anchor>
            </w:drawing>
          </mc:Choice>
          <mc:Fallback>
            <w:pict>
              <v:shapetype w14:anchorId="4BE2122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27" o:spid="_x0000_s1026" type="#_x0000_t67" style="position:absolute;margin-left:30.65pt;margin-top:21.75pt;width:28.35pt;height:13.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" adj="10800" fillcolor="#4f7ac7 [3028]" stroked="f">
                <v:fill color2="#416fc3 [3172]" rotate="t" colors="0 #6083cb;.5 #3e70ca;1 #2e61ba" focus="100%" type="gradient">
                  <o:fill v:ext="view" type="gradientUnscaled"/>
                </v:fill>
                <v:shadow on="t" color="black" opacity="41287f" offset="0,1.5pt"/>
              </v:shape>
            </w:pict>
          </mc:Fallback>
        </mc:AlternateContent>
      </w:r>
      <w:r>
        <w:rPr>
          <w:sz w:val="24"/>
          <w:szCs w:val="24"/>
        </w:rPr>
        <w:t>Legenda:</w:t>
      </w:r>
    </w:p>
    <w:p w14:paraId="21161BD9" w14:textId="51EDF98C" w:rsidR="00FD7D45" w:rsidRDefault="006F5E55" w:rsidP="00FD7D45">
      <w:pPr>
        <w:spacing w:before="60" w:after="120" w:line="360" w:lineRule="auto"/>
        <w:ind w:left="720" w:firstLine="720"/>
        <w:jc w:val="both"/>
        <w:rPr>
          <w:sz w:val="24"/>
          <w:szCs w:val="24"/>
        </w:rPr>
      </w:pPr>
      <w:r w:rsidRPr="00881E22">
        <w:rPr>
          <w:noProof/>
          <w:sz w:val="24"/>
          <w:szCs w:val="24"/>
        </w:rPr>
        <mc:AlternateContent>
          <mc:Choice Requires="wps">
            <w:drawing>
              <wp:anchor distT="0" distB="0" distL="114300" distR="114300" simplePos="0" relativeHeight="251665408" behindDoc="0" locked="0" layoutInCell="1" allowOverlap="1" wp14:anchorId="01A13443" wp14:editId="3F5D56B3">
                <wp:simplePos x="0" y="0"/>
                <wp:positionH relativeFrom="column">
                  <wp:posOffset>687070</wp:posOffset>
                </wp:positionH>
                <wp:positionV relativeFrom="paragraph">
                  <wp:posOffset>74296</wp:posOffset>
                </wp:positionV>
                <wp:extent cx="2298700" cy="260350"/>
                <wp:effectExtent l="0" t="0" r="0" b="0"/>
                <wp:wrapNone/>
                <wp:docPr id="36" name="CaixaDeTexto 35">
                  <a:extLst xmlns:a="http://schemas.openxmlformats.org/drawingml/2006/main">
                    <a:ext uri="{FF2B5EF4-FFF2-40B4-BE49-F238E27FC236}">
                      <a16:creationId xmlns:a16="http://schemas.microsoft.com/office/drawing/2014/main" id="{6E97BDBC-E7A2-40F6-9AF4-F11F8336AB85}"/>
                    </a:ext>
                  </a:extLst>
                </wp:docPr>
                <wp:cNvGraphicFramePr/>
                <a:graphic xmlns:a="http://schemas.openxmlformats.org/drawingml/2006/main">
                  <a:graphicData uri="http://schemas.microsoft.com/office/word/2010/wordprocessingShape">
                    <wps:wsp>
                      <wps:cNvSpPr txBox="1"/>
                      <wps:spPr>
                        <a:xfrm>
                          <a:off x="0" y="0"/>
                          <a:ext cx="2298700" cy="260350"/>
                        </a:xfrm>
                        <a:prstGeom prst="rect">
                          <a:avLst/>
                        </a:prstGeom>
                        <a:noFill/>
                      </wps:spPr>
                      <wps:txbx>
                        <w:txbxContent>
                          <w:p w14:paraId="00124550" w14:textId="77777777" w:rsidR="00FD7D45" w:rsidRPr="006F5E55" w:rsidRDefault="00FD7D45" w:rsidP="00FD7D45">
                            <w:pPr>
                              <w:rPr>
                                <w:sz w:val="20"/>
                                <w:szCs w:val="20"/>
                              </w:rPr>
                            </w:pPr>
                            <w:r w:rsidRPr="006F5E55">
                              <w:rPr>
                                <w:kern w:val="24"/>
                                <w:sz w:val="20"/>
                                <w:szCs w:val="20"/>
                              </w:rPr>
                              <w:t>Delegar, orientar, recursos, supervisão</w:t>
                            </w:r>
                          </w:p>
                        </w:txbxContent>
                      </wps:txbx>
                      <wps:bodyPr wrap="square" rtlCol="0">
                        <a:noAutofit/>
                      </wps:bodyPr>
                    </wps:wsp>
                  </a:graphicData>
                </a:graphic>
                <wp14:sizeRelV relativeFrom="margin">
                  <wp14:pctHeight>0</wp14:pctHeight>
                </wp14:sizeRelV>
              </wp:anchor>
            </w:drawing>
          </mc:Choice>
          <mc:Fallback>
            <w:pict>
              <v:shape w14:anchorId="01A13443" id="CaixaDeTexto 35" o:spid="_x0000_s1028" type="#_x0000_t202" style="position:absolute;left:0;text-align:left;margin-left:54.1pt;margin-top:5.85pt;width:181pt;height:2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" filled="f" stroked="f">
                <v:textbox>
                  <w:txbxContent>
                    <w:p w14:paraId="00124550" w14:textId="77777777" w:rsidR="00FD7D45" w:rsidRPr="006F5E55" w:rsidRDefault="00FD7D45" w:rsidP="00FD7D45">
                      <w:pPr>
                        <w:rPr>
                          <w:sz w:val="20"/>
                          <w:szCs w:val="20"/>
                        </w:rPr>
                      </w:pPr>
                      <w:r w:rsidRPr="006F5E55">
                        <w:rPr>
                          <w:kern w:val="24"/>
                          <w:sz w:val="20"/>
                          <w:szCs w:val="20"/>
                        </w:rPr>
                        <w:t>Delegar, orientar, recursos, supervisão</w:t>
                      </w:r>
                    </w:p>
                  </w:txbxContent>
                </v:textbox>
              </v:shape>
            </w:pict>
          </mc:Fallback>
        </mc:AlternateContent>
      </w:r>
      <w:r w:rsidR="00FD7D45" w:rsidRPr="00881E22">
        <w:rPr>
          <w:noProof/>
          <w:sz w:val="24"/>
          <w:szCs w:val="24"/>
        </w:rPr>
        <mc:AlternateContent>
          <mc:Choice Requires="wps">
            <w:drawing>
              <wp:anchor distT="0" distB="0" distL="114300" distR="114300" simplePos="0" relativeHeight="251661312" behindDoc="0" locked="0" layoutInCell="1" allowOverlap="1" wp14:anchorId="7D0F9D0D" wp14:editId="726D6DEC">
                <wp:simplePos x="0" y="0"/>
                <wp:positionH relativeFrom="column">
                  <wp:posOffset>401320</wp:posOffset>
                </wp:positionH>
                <wp:positionV relativeFrom="paragraph">
                  <wp:posOffset>107315</wp:posOffset>
                </wp:positionV>
                <wp:extent cx="339090" cy="166370"/>
                <wp:effectExtent l="57150" t="38100" r="22860" b="81280"/>
                <wp:wrapNone/>
                <wp:docPr id="31" name="Seta: para Cima 30">
                  <a:extLst xmlns:a="http://schemas.openxmlformats.org/drawingml/2006/main">
                    <a:ext uri="{FF2B5EF4-FFF2-40B4-BE49-F238E27FC236}">
                      <a16:creationId xmlns:a16="http://schemas.microsoft.com/office/drawing/2014/main" id="{A113A3E8-7237-4338-BE85-65CF91C92B59}"/>
                    </a:ext>
                  </a:extLst>
                </wp:docPr>
                <wp:cNvGraphicFramePr/>
                <a:graphic xmlns:a="http://schemas.openxmlformats.org/drawingml/2006/main">
                  <a:graphicData uri="http://schemas.microsoft.com/office/word/2010/wordprocessingShape">
                    <wps:wsp>
                      <wps:cNvSpPr/>
                      <wps:spPr>
                        <a:xfrm>
                          <a:off x="0" y="0"/>
                          <a:ext cx="339090" cy="166370"/>
                        </a:xfrm>
                        <a:prstGeom prst="upArrow">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B196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eta: para Cima 30" o:spid="_x0000_s1026" type="#_x0000_t68" style="position:absolute;margin-left:31.6pt;margin-top:8.45pt;width:26.7pt;height:1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" adj="10800" fillcolor="#4f7ac7 [3028]" stroked="f">
                <v:fill color2="#416fc3 [3172]" rotate="t" colors="0 #6083cb;.5 #3e70ca;1 #2e61ba" focus="100%" type="gradient">
                  <o:fill v:ext="view" type="gradientUnscaled"/>
                </v:fill>
                <v:shadow on="t" color="black" opacity="41287f" offset="0,1.5pt"/>
              </v:shape>
            </w:pict>
          </mc:Fallback>
        </mc:AlternateContent>
      </w:r>
      <w:r w:rsidR="00FD7D45" w:rsidRPr="00881E22">
        <w:rPr>
          <w:noProof/>
          <w:sz w:val="24"/>
          <w:szCs w:val="24"/>
        </w:rPr>
        <mc:AlternateContent>
          <mc:Choice Requires="wps">
            <w:drawing>
              <wp:anchor distT="0" distB="0" distL="114300" distR="114300" simplePos="0" relativeHeight="251662336" behindDoc="0" locked="0" layoutInCell="1" allowOverlap="1" wp14:anchorId="027087F4" wp14:editId="2F900710">
                <wp:simplePos x="0" y="0"/>
                <wp:positionH relativeFrom="column">
                  <wp:posOffset>388620</wp:posOffset>
                </wp:positionH>
                <wp:positionV relativeFrom="paragraph">
                  <wp:posOffset>293370</wp:posOffset>
                </wp:positionV>
                <wp:extent cx="325120" cy="278765"/>
                <wp:effectExtent l="57150" t="38100" r="17780" b="83185"/>
                <wp:wrapNone/>
                <wp:docPr id="32" name="Seta: da Esquerda para a Direita 31">
                  <a:extLst xmlns:a="http://schemas.openxmlformats.org/drawingml/2006/main">
                    <a:ext uri="{FF2B5EF4-FFF2-40B4-BE49-F238E27FC236}">
                      <a16:creationId xmlns:a16="http://schemas.microsoft.com/office/drawing/2014/main" id="{476D37F4-4A70-4DC4-83AD-606F2CF7C7DC}"/>
                    </a:ext>
                  </a:extLst>
                </wp:docPr>
                <wp:cNvGraphicFramePr/>
                <a:graphic xmlns:a="http://schemas.openxmlformats.org/drawingml/2006/main">
                  <a:graphicData uri="http://schemas.microsoft.com/office/word/2010/wordprocessingShape">
                    <wps:wsp>
                      <wps:cNvSpPr/>
                      <wps:spPr>
                        <a:xfrm>
                          <a:off x="0" y="0"/>
                          <a:ext cx="325120" cy="278765"/>
                        </a:xfrm>
                        <a:prstGeom prst="leftRightArrow">
                          <a:avLst/>
                        </a:prstGeom>
                        <a:ln/>
                      </wps:spPr>
                      <wps:style>
                        <a:lnRef idx="0">
                          <a:schemeClr val="accent1"/>
                        </a:lnRef>
                        <a:fillRef idx="3">
                          <a:schemeClr val="accent1"/>
                        </a:fillRef>
                        <a:effectRef idx="3">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53A81A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eta: da Esquerda para a Direita 31" o:spid="_x0000_s1026" type="#_x0000_t69" style="position:absolute;margin-left:30.6pt;margin-top:23.1pt;width:25.6pt;height:2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" adj="9260" fillcolor="#4f7ac7 [3028]" stroked="f">
                <v:fill color2="#416fc3 [3172]" rotate="t" colors="0 #6083cb;.5 #3e70ca;1 #2e61ba" focus="100%" type="gradient">
                  <o:fill v:ext="view" type="gradientUnscaled"/>
                </v:fill>
                <v:shadow on="t" color="black" opacity="41287f" offset="0,1.5pt"/>
              </v:shape>
            </w:pict>
          </mc:Fallback>
        </mc:AlternateContent>
      </w:r>
      <w:r w:rsidR="00FD7D45" w:rsidRPr="00881E22">
        <w:rPr>
          <w:noProof/>
          <w:sz w:val="24"/>
          <w:szCs w:val="24"/>
        </w:rPr>
        <mc:AlternateContent>
          <mc:Choice Requires="wps">
            <w:drawing>
              <wp:anchor distT="0" distB="0" distL="114300" distR="114300" simplePos="0" relativeHeight="251663360" behindDoc="0" locked="0" layoutInCell="1" allowOverlap="1" wp14:anchorId="66424553" wp14:editId="176A7987">
                <wp:simplePos x="0" y="0"/>
                <wp:positionH relativeFrom="margin">
                  <wp:posOffset>695325</wp:posOffset>
                </wp:positionH>
                <wp:positionV relativeFrom="paragraph">
                  <wp:posOffset>322221</wp:posOffset>
                </wp:positionV>
                <wp:extent cx="4021455" cy="522605"/>
                <wp:effectExtent l="0" t="0" r="0" b="0"/>
                <wp:wrapNone/>
                <wp:docPr id="34" name="CaixaDeTexto 33">
                  <a:extLst xmlns:a="http://schemas.openxmlformats.org/drawingml/2006/main">
                    <a:ext uri="{FF2B5EF4-FFF2-40B4-BE49-F238E27FC236}">
                      <a16:creationId xmlns:a16="http://schemas.microsoft.com/office/drawing/2014/main" id="{B4A3B362-1862-4515-85E0-23B18F329628}"/>
                    </a:ext>
                  </a:extLst>
                </wp:docPr>
                <wp:cNvGraphicFramePr/>
                <a:graphic xmlns:a="http://schemas.openxmlformats.org/drawingml/2006/main">
                  <a:graphicData uri="http://schemas.microsoft.com/office/word/2010/wordprocessingShape">
                    <wps:wsp>
                      <wps:cNvSpPr txBox="1"/>
                      <wps:spPr>
                        <a:xfrm>
                          <a:off x="0" y="0"/>
                          <a:ext cx="4021455" cy="522605"/>
                        </a:xfrm>
                        <a:prstGeom prst="rect">
                          <a:avLst/>
                        </a:prstGeom>
                        <a:noFill/>
                      </wps:spPr>
                      <wps:txbx>
                        <w:txbxContent>
                          <w:p w14:paraId="57F9C642" w14:textId="77777777" w:rsidR="00FD7D45" w:rsidRPr="006F5E55" w:rsidRDefault="00FD7D45" w:rsidP="00FD7D45">
                            <w:pPr>
                              <w:rPr>
                                <w:sz w:val="20"/>
                                <w:szCs w:val="20"/>
                              </w:rPr>
                            </w:pPr>
                            <w:r w:rsidRPr="006F5E55">
                              <w:rPr>
                                <w:kern w:val="24"/>
                                <w:sz w:val="20"/>
                                <w:szCs w:val="20"/>
                              </w:rPr>
                              <w:t>Alinhamentos, comunicação, coordenação e colaboração</w:t>
                            </w:r>
                          </w:p>
                        </w:txbxContent>
                      </wps:txbx>
                      <wps:bodyPr wrap="square" rtlCol="0">
                        <a:spAutoFit/>
                      </wps:bodyPr>
                    </wps:wsp>
                  </a:graphicData>
                </a:graphic>
                <wp14:sizeRelH relativeFrom="margin">
                  <wp14:pctWidth>0</wp14:pctWidth>
                </wp14:sizeRelH>
              </wp:anchor>
            </w:drawing>
          </mc:Choice>
          <mc:Fallback>
            <w:pict>
              <v:shape w14:anchorId="66424553" id="CaixaDeTexto 33" o:spid="_x0000_s1029" type="#_x0000_t202" style="position:absolute;left:0;text-align:left;margin-left:54.75pt;margin-top:25.35pt;width:316.65pt;height:41.1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" filled="f" stroked="f">
                <v:textbox style="mso-fit-shape-to-text:t">
                  <w:txbxContent>
                    <w:p w14:paraId="57F9C642" w14:textId="77777777" w:rsidR="00FD7D45" w:rsidRPr="006F5E55" w:rsidRDefault="00FD7D45" w:rsidP="00FD7D45">
                      <w:pPr>
                        <w:rPr>
                          <w:sz w:val="20"/>
                          <w:szCs w:val="20"/>
                        </w:rPr>
                      </w:pPr>
                      <w:r w:rsidRPr="006F5E55">
                        <w:rPr>
                          <w:kern w:val="24"/>
                          <w:sz w:val="20"/>
                          <w:szCs w:val="20"/>
                        </w:rPr>
                        <w:t>Alinhamentos, comunicação, coordenação e colaboração</w:t>
                      </w:r>
                    </w:p>
                  </w:txbxContent>
                </v:textbox>
                <w10:wrap anchorx="margin"/>
              </v:shape>
            </w:pict>
          </mc:Fallback>
        </mc:AlternateContent>
      </w:r>
    </w:p>
    <w:p w14:paraId="68372667" w14:textId="77777777" w:rsidR="00FD7D45" w:rsidRDefault="00FD7D45" w:rsidP="00FD7D45">
      <w:pPr>
        <w:spacing w:before="60" w:after="120" w:line="360" w:lineRule="auto"/>
        <w:ind w:left="720" w:firstLine="720"/>
        <w:jc w:val="both"/>
        <w:rPr>
          <w:sz w:val="24"/>
          <w:szCs w:val="24"/>
        </w:rPr>
      </w:pPr>
    </w:p>
    <w:p w14:paraId="26C91DB4" w14:textId="77777777" w:rsidR="00FD7D45" w:rsidRDefault="00FD7D45" w:rsidP="00FD7D45">
      <w:pPr>
        <w:spacing w:before="60" w:after="120"/>
        <w:ind w:firstLine="720"/>
        <w:jc w:val="both"/>
        <w:rPr>
          <w:sz w:val="24"/>
          <w:szCs w:val="24"/>
        </w:rPr>
      </w:pPr>
    </w:p>
    <w:p w14:paraId="0C854588" w14:textId="77777777" w:rsidR="00FD7D45" w:rsidRDefault="00FD7D45" w:rsidP="00FD7D45">
      <w:pPr>
        <w:spacing w:before="60" w:after="120" w:line="360" w:lineRule="auto"/>
        <w:ind w:firstLine="720"/>
        <w:jc w:val="both"/>
        <w:rPr>
          <w:sz w:val="24"/>
          <w:szCs w:val="24"/>
        </w:rPr>
      </w:pPr>
      <w:r>
        <w:rPr>
          <w:sz w:val="24"/>
          <w:szCs w:val="24"/>
        </w:rPr>
        <w:t>A estrutura de governança para a g</w:t>
      </w:r>
      <w:r w:rsidRPr="00842D8C">
        <w:rPr>
          <w:sz w:val="24"/>
          <w:szCs w:val="24"/>
        </w:rPr>
        <w:t xml:space="preserve">estão de </w:t>
      </w:r>
      <w:r>
        <w:rPr>
          <w:sz w:val="24"/>
          <w:szCs w:val="24"/>
        </w:rPr>
        <w:t>r</w:t>
      </w:r>
      <w:r w:rsidRPr="00842D8C">
        <w:rPr>
          <w:sz w:val="24"/>
          <w:szCs w:val="24"/>
        </w:rPr>
        <w:t xml:space="preserve">iscos do Ministério da Saúde, </w:t>
      </w:r>
      <w:r>
        <w:rPr>
          <w:sz w:val="24"/>
          <w:szCs w:val="24"/>
        </w:rPr>
        <w:t>adaptada ao</w:t>
      </w:r>
      <w:r w:rsidRPr="00842D8C">
        <w:rPr>
          <w:sz w:val="24"/>
          <w:szCs w:val="24"/>
        </w:rPr>
        <w:t xml:space="preserve"> Modelo </w:t>
      </w:r>
      <w:r>
        <w:rPr>
          <w:sz w:val="24"/>
          <w:szCs w:val="24"/>
        </w:rPr>
        <w:t xml:space="preserve">das Linhas de Defesas 2020, </w:t>
      </w:r>
      <w:r w:rsidRPr="00842D8C">
        <w:rPr>
          <w:sz w:val="24"/>
          <w:szCs w:val="24"/>
        </w:rPr>
        <w:t>compreende:</w:t>
      </w:r>
    </w:p>
    <w:p w14:paraId="114F3155" w14:textId="77777777" w:rsidR="00FD7D45" w:rsidRPr="00143388" w:rsidRDefault="00FD7D45" w:rsidP="00586858">
      <w:pPr>
        <w:pStyle w:val="Ttulo1"/>
        <w:numPr>
          <w:ilvl w:val="1"/>
          <w:numId w:val="4"/>
        </w:numPr>
        <w:spacing w:before="120" w:after="120"/>
        <w:rPr>
          <w:rFonts w:asciiTheme="minorHAnsi" w:hAnsiTheme="minorHAnsi" w:cstheme="minorHAnsi"/>
          <w:sz w:val="26"/>
          <w:szCs w:val="26"/>
        </w:rPr>
      </w:pPr>
      <w:bookmarkStart w:id="9" w:name="_Toc74468855"/>
      <w:r w:rsidRPr="00143388">
        <w:rPr>
          <w:rFonts w:asciiTheme="minorHAnsi" w:hAnsiTheme="minorHAnsi" w:cstheme="minorHAnsi"/>
          <w:sz w:val="26"/>
          <w:szCs w:val="26"/>
        </w:rPr>
        <w:t>Comitê Interno de Governança (CIG)</w:t>
      </w:r>
      <w:bookmarkEnd w:id="9"/>
    </w:p>
    <w:p w14:paraId="26243377" w14:textId="77777777" w:rsidR="00FD7D45" w:rsidRDefault="00FD7D45" w:rsidP="00FD7D45">
      <w:pPr>
        <w:pStyle w:val="Ttulo1"/>
        <w:spacing w:before="120" w:after="120"/>
        <w:rPr>
          <w:sz w:val="26"/>
          <w:szCs w:val="26"/>
        </w:rPr>
      </w:pPr>
    </w:p>
    <w:p w14:paraId="55D72ECD" w14:textId="57C5A6CC" w:rsidR="00FD7D45" w:rsidRPr="00136CA2" w:rsidRDefault="00FD7D45" w:rsidP="00FD7D45">
      <w:pPr>
        <w:spacing w:before="60" w:after="120" w:line="360" w:lineRule="auto"/>
        <w:ind w:firstLine="708"/>
        <w:jc w:val="both"/>
        <w:rPr>
          <w:rFonts w:cstheme="minorHAnsi"/>
          <w:sz w:val="24"/>
          <w:szCs w:val="24"/>
        </w:rPr>
      </w:pPr>
      <w:r w:rsidRPr="00136CA2">
        <w:rPr>
          <w:rFonts w:cstheme="minorHAnsi"/>
          <w:sz w:val="24"/>
          <w:szCs w:val="24"/>
        </w:rPr>
        <w:t xml:space="preserve">O Comitê Interno de Governança, </w:t>
      </w:r>
      <w:r w:rsidR="00983CBF" w:rsidRPr="00136CA2">
        <w:rPr>
          <w:rFonts w:cstheme="minorHAnsi"/>
          <w:sz w:val="24"/>
          <w:szCs w:val="24"/>
        </w:rPr>
        <w:t>instituído</w:t>
      </w:r>
      <w:r w:rsidRPr="00136CA2">
        <w:rPr>
          <w:rFonts w:cstheme="minorHAnsi"/>
          <w:sz w:val="24"/>
          <w:szCs w:val="24"/>
        </w:rPr>
        <w:t xml:space="preserve"> pela Portaria GM/MS nº 870, de 3 de maio de 2021, é composto pelo Ministro de Estado do Ministério da Saúde, pelo Secretário Executivo e pelos titulares das demais Secretarias, e possui as seguintes competências: </w:t>
      </w:r>
    </w:p>
    <w:p w14:paraId="3B2B4EC2"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assegurar o alinhamento da gestão de riscos com os objetivos do planejamento estratégico institucional;</w:t>
      </w:r>
    </w:p>
    <w:p w14:paraId="07792B9E"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aprovar a Política e o Plano de Gestão de Riscos;</w:t>
      </w:r>
    </w:p>
    <w:p w14:paraId="4E8AF648"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definir o apetite  a riscos e deliberar sobre as propostas de alteração dos níveis de exposição a riscos que possam impactar o alcance dos objetivos institucionais;</w:t>
      </w:r>
    </w:p>
    <w:p w14:paraId="4417169A"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assegurar que as informações relevantes sobre gestão de riscos estejam disponíveis para subsidiar a tomada de decisão;</w:t>
      </w:r>
    </w:p>
    <w:p w14:paraId="44CAE1BE"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assegurar a utilização de mecanismos de comunicação e de institucionalização da gestão de riscos;</w:t>
      </w:r>
    </w:p>
    <w:p w14:paraId="36432106"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deliberar sobre o resultado da avaliação de desempenho institucional da gestão de riscos;</w:t>
      </w:r>
    </w:p>
    <w:p w14:paraId="4856A557"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assegurar a realização de ações que incentivem e promovam a cultura e a capacitação na gestão de riscos; e</w:t>
      </w:r>
    </w:p>
    <w:p w14:paraId="3F11E35B"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assegurar alocação dos recursos necessários à gestão de riscos.</w:t>
      </w:r>
    </w:p>
    <w:p w14:paraId="2C4BF15A" w14:textId="77777777" w:rsidR="00FD7D45" w:rsidRDefault="00FD7D45" w:rsidP="00FD7D45">
      <w:pPr>
        <w:pStyle w:val="PargrafodaLista"/>
        <w:spacing w:before="60" w:after="120" w:line="360" w:lineRule="auto"/>
        <w:ind w:left="720" w:firstLine="0"/>
        <w:rPr>
          <w:sz w:val="24"/>
          <w:szCs w:val="24"/>
        </w:rPr>
      </w:pPr>
    </w:p>
    <w:p w14:paraId="7876D49F" w14:textId="77777777" w:rsidR="00FD7D45" w:rsidRPr="00143388" w:rsidRDefault="00FD7D45" w:rsidP="00586858">
      <w:pPr>
        <w:pStyle w:val="Ttulo1"/>
        <w:numPr>
          <w:ilvl w:val="1"/>
          <w:numId w:val="4"/>
        </w:numPr>
        <w:spacing w:before="120" w:after="120"/>
        <w:rPr>
          <w:rFonts w:asciiTheme="minorHAnsi" w:hAnsiTheme="minorHAnsi" w:cstheme="minorHAnsi"/>
          <w:sz w:val="26"/>
          <w:szCs w:val="26"/>
        </w:rPr>
      </w:pPr>
      <w:bookmarkStart w:id="10" w:name="_Toc74468856"/>
      <w:r w:rsidRPr="00143388">
        <w:rPr>
          <w:rFonts w:asciiTheme="minorHAnsi" w:hAnsiTheme="minorHAnsi" w:cstheme="minorHAnsi"/>
          <w:sz w:val="26"/>
          <w:szCs w:val="26"/>
        </w:rPr>
        <w:t>Comitê de Gestão de Riscos (CGR)</w:t>
      </w:r>
      <w:bookmarkEnd w:id="10"/>
    </w:p>
    <w:p w14:paraId="01C7CA2E" w14:textId="77777777" w:rsidR="00FD7D45" w:rsidRDefault="00FD7D45" w:rsidP="00FD7D45">
      <w:pPr>
        <w:spacing w:before="60" w:after="120" w:line="360" w:lineRule="auto"/>
        <w:ind w:firstLine="708"/>
        <w:jc w:val="both"/>
        <w:rPr>
          <w:color w:val="00B0F0"/>
          <w:sz w:val="24"/>
          <w:szCs w:val="24"/>
        </w:rPr>
      </w:pPr>
    </w:p>
    <w:p w14:paraId="68A40845" w14:textId="76542385" w:rsidR="00FD7D45" w:rsidRPr="00136CA2" w:rsidRDefault="00FD7D45" w:rsidP="00FD7D45">
      <w:pPr>
        <w:spacing w:before="60" w:after="120" w:line="360" w:lineRule="auto"/>
        <w:ind w:firstLine="708"/>
        <w:jc w:val="both"/>
        <w:rPr>
          <w:rFonts w:cstheme="minorHAnsi"/>
          <w:sz w:val="24"/>
          <w:szCs w:val="24"/>
        </w:rPr>
      </w:pPr>
      <w:r w:rsidRPr="00136CA2">
        <w:rPr>
          <w:rFonts w:cstheme="minorHAnsi"/>
          <w:sz w:val="24"/>
          <w:szCs w:val="24"/>
        </w:rPr>
        <w:t xml:space="preserve">O Comitê de Gestão de Riscos, </w:t>
      </w:r>
      <w:r w:rsidR="00E338C0" w:rsidRPr="00136CA2">
        <w:rPr>
          <w:rFonts w:cstheme="minorHAnsi"/>
          <w:sz w:val="24"/>
          <w:szCs w:val="24"/>
        </w:rPr>
        <w:t>instituído</w:t>
      </w:r>
      <w:r w:rsidRPr="00136CA2">
        <w:rPr>
          <w:rFonts w:cstheme="minorHAnsi"/>
          <w:sz w:val="24"/>
          <w:szCs w:val="24"/>
        </w:rPr>
        <w:t xml:space="preserve"> pel</w:t>
      </w:r>
      <w:r w:rsidR="00E338C0" w:rsidRPr="00136CA2">
        <w:rPr>
          <w:rFonts w:cstheme="minorHAnsi"/>
          <w:sz w:val="24"/>
          <w:szCs w:val="24"/>
        </w:rPr>
        <w:t>a</w:t>
      </w:r>
      <w:r w:rsidRPr="00136CA2">
        <w:rPr>
          <w:rFonts w:cstheme="minorHAnsi"/>
          <w:sz w:val="24"/>
          <w:szCs w:val="24"/>
        </w:rPr>
        <w:t xml:space="preserve"> </w:t>
      </w:r>
      <w:r w:rsidR="00E338C0" w:rsidRPr="00136CA2">
        <w:rPr>
          <w:rFonts w:cstheme="minorHAnsi"/>
          <w:sz w:val="24"/>
          <w:szCs w:val="24"/>
        </w:rPr>
        <w:t>Portaria GM/MS 1.185, de 9 de junho de 2021</w:t>
      </w:r>
      <w:r w:rsidRPr="00136CA2">
        <w:rPr>
          <w:rFonts w:cstheme="minorHAnsi"/>
          <w:sz w:val="24"/>
          <w:szCs w:val="24"/>
        </w:rPr>
        <w:t xml:space="preserve">, é composto por representantes das Secretarias, indicados pelos Secretários das pastas, com cargo de Direção e Assessoramento Superior (DAS) 5 ou equivalente, e possui as seguintes competências. </w:t>
      </w:r>
    </w:p>
    <w:p w14:paraId="77DE3CCC"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promover o alinhamento da gestão de riscos com os objetivos do planejamento estratégico institucional;</w:t>
      </w:r>
    </w:p>
    <w:p w14:paraId="23CF4703"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avaliar as propostas de Política de Gestão de Riscos para submetê-la ao CIG;</w:t>
      </w:r>
    </w:p>
    <w:p w14:paraId="61E3FCF4"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b/>
          <w:bCs/>
          <w:sz w:val="24"/>
          <w:szCs w:val="24"/>
        </w:rPr>
        <w:t>aprovar a Metodologia de Gestão de Riscos</w:t>
      </w:r>
      <w:r w:rsidRPr="00136CA2">
        <w:rPr>
          <w:rFonts w:asciiTheme="minorHAnsi" w:hAnsiTheme="minorHAnsi" w:cstheme="minorHAnsi"/>
          <w:sz w:val="24"/>
          <w:szCs w:val="24"/>
        </w:rPr>
        <w:t>;</w:t>
      </w:r>
    </w:p>
    <w:p w14:paraId="026C05B2"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avaliar o Plano de Gestão de Riscos consolidado pela DINTEG e definir quais processos serão sugeridos ao CIG para integrar o Plano;</w:t>
      </w:r>
    </w:p>
    <w:p w14:paraId="0523241B"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manifestar sobre o apetite a risco e sobre as propostas de alteração dos níveis de exposição a riscos recebidos das UGRI, para submetê-los aos CIG;</w:t>
      </w:r>
    </w:p>
    <w:p w14:paraId="302CDA42"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comunicar ao CIG, informações relevantes sobre a gestão de riscos para subsidiar o processo de tomada de decisão;</w:t>
      </w:r>
    </w:p>
    <w:p w14:paraId="43BDD428"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 xml:space="preserve">aprovar mecanismos de comunicação da gestão de riscos; </w:t>
      </w:r>
    </w:p>
    <w:p w14:paraId="6480EA58"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aprovar os Planos de Respostas aos Riscos;</w:t>
      </w:r>
    </w:p>
    <w:p w14:paraId="40AB1207"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analisar o  relatório de avaliação de desempenho institucional da gestão de riscos e submetê-lo ao CIG; e</w:t>
      </w:r>
    </w:p>
    <w:p w14:paraId="7DDF6B22"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apoiar as ações que incentivem e promovam a cultura e a capacitação em gestão de riscos.</w:t>
      </w:r>
    </w:p>
    <w:p w14:paraId="7F1DFA53" w14:textId="77777777" w:rsidR="00FD7D45" w:rsidRPr="009C0EE0" w:rsidRDefault="00FD7D45" w:rsidP="00FD7D45">
      <w:pPr>
        <w:pStyle w:val="PargrafodaLista"/>
        <w:spacing w:before="60" w:after="120" w:line="360" w:lineRule="auto"/>
        <w:ind w:left="720" w:firstLine="0"/>
        <w:rPr>
          <w:sz w:val="24"/>
          <w:szCs w:val="24"/>
        </w:rPr>
      </w:pPr>
    </w:p>
    <w:p w14:paraId="3C192F79" w14:textId="77777777" w:rsidR="00FD7D45" w:rsidRPr="00143388" w:rsidRDefault="00FD7D45" w:rsidP="00586858">
      <w:pPr>
        <w:pStyle w:val="Ttulo1"/>
        <w:numPr>
          <w:ilvl w:val="1"/>
          <w:numId w:val="4"/>
        </w:numPr>
        <w:spacing w:before="120" w:after="120"/>
        <w:rPr>
          <w:rFonts w:ascii="Calibri" w:hAnsi="Calibri" w:cs="Calibri"/>
          <w:sz w:val="26"/>
          <w:szCs w:val="26"/>
        </w:rPr>
      </w:pPr>
      <w:bookmarkStart w:id="11" w:name="_Toc74468857"/>
      <w:r w:rsidRPr="00143388">
        <w:rPr>
          <w:rFonts w:ascii="Calibri" w:hAnsi="Calibri" w:cs="Calibri"/>
          <w:sz w:val="26"/>
          <w:szCs w:val="26"/>
        </w:rPr>
        <w:t>Unidade de Gestão de Riscos e Integridade (UGRI)</w:t>
      </w:r>
      <w:bookmarkEnd w:id="11"/>
      <w:r w:rsidRPr="00143388">
        <w:rPr>
          <w:rFonts w:ascii="Calibri" w:hAnsi="Calibri" w:cs="Calibri"/>
          <w:sz w:val="26"/>
          <w:szCs w:val="26"/>
        </w:rPr>
        <w:t xml:space="preserve"> </w:t>
      </w:r>
    </w:p>
    <w:p w14:paraId="2D3F0F66" w14:textId="77777777" w:rsidR="00FD7D45" w:rsidRPr="0010129E" w:rsidRDefault="00FD7D45" w:rsidP="00FD7D45">
      <w:pPr>
        <w:spacing w:before="60" w:after="120" w:line="360" w:lineRule="auto"/>
        <w:jc w:val="both"/>
        <w:rPr>
          <w:sz w:val="24"/>
          <w:szCs w:val="24"/>
        </w:rPr>
      </w:pPr>
    </w:p>
    <w:p w14:paraId="673E78BF" w14:textId="2DC3FCCF" w:rsidR="00FD7D45" w:rsidRPr="00136CA2" w:rsidRDefault="00FD7D45" w:rsidP="00FD7D45">
      <w:pPr>
        <w:spacing w:before="60" w:after="120" w:line="360" w:lineRule="auto"/>
        <w:ind w:firstLine="708"/>
        <w:jc w:val="both"/>
        <w:rPr>
          <w:rFonts w:cstheme="minorHAnsi"/>
          <w:sz w:val="24"/>
          <w:szCs w:val="24"/>
        </w:rPr>
      </w:pPr>
      <w:r w:rsidRPr="00136CA2">
        <w:rPr>
          <w:rFonts w:cstheme="minorHAnsi"/>
          <w:sz w:val="24"/>
          <w:szCs w:val="24"/>
        </w:rPr>
        <w:t xml:space="preserve">A Unidade de Gestão de Riscos e Integridade </w:t>
      </w:r>
      <w:r w:rsidR="00E338C0" w:rsidRPr="00136CA2">
        <w:rPr>
          <w:rFonts w:cstheme="minorHAnsi"/>
          <w:sz w:val="24"/>
          <w:szCs w:val="24"/>
        </w:rPr>
        <w:t>instituída</w:t>
      </w:r>
      <w:r w:rsidRPr="00136CA2">
        <w:rPr>
          <w:rFonts w:cstheme="minorHAnsi"/>
          <w:sz w:val="24"/>
          <w:szCs w:val="24"/>
        </w:rPr>
        <w:t xml:space="preserve"> também pela </w:t>
      </w:r>
      <w:r w:rsidR="00E338C0" w:rsidRPr="00136CA2">
        <w:rPr>
          <w:rFonts w:cstheme="minorHAnsi"/>
          <w:sz w:val="24"/>
          <w:szCs w:val="24"/>
        </w:rPr>
        <w:t>Portaria GM/MS 1.185, de 9 de junho de 2021</w:t>
      </w:r>
      <w:r w:rsidRPr="00136CA2">
        <w:rPr>
          <w:rFonts w:cstheme="minorHAnsi"/>
          <w:sz w:val="24"/>
          <w:szCs w:val="24"/>
        </w:rPr>
        <w:t>, é composta, em cada Secretaria e Superintendência Estadual do Ministério da Saúde (SEMS), por profissionais com conhecimento em gestão de riscos que serão vinculados, hierarquicamente, às Unidades Organizacionais e, tecnicamente, à Diretoria de Integridade (DINTEG), e possui as seguintes competências:</w:t>
      </w:r>
    </w:p>
    <w:p w14:paraId="62AB162B"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coordenar o gerenciamento de riscos dos processos de sua Unidade Organizacional;</w:t>
      </w:r>
    </w:p>
    <w:p w14:paraId="587E6735"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assegurar o alinhamento do processo de  gerenciamento de riscos da sua Unidade Organizacional com os objetivos do planejamento estratégico institucional;</w:t>
      </w:r>
    </w:p>
    <w:p w14:paraId="044A3233"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apoiar e monitorar o processo de gerenciamento de riscos da sua Unidade Organizacional;</w:t>
      </w:r>
    </w:p>
    <w:p w14:paraId="2D748F1E"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consolidar as informações apresentadas pelos Gestores de Processos e propor os processos prioritários de sua Unidade Organizacional que poderão compor o Plano de Gestão de Riscos;</w:t>
      </w:r>
    </w:p>
    <w:p w14:paraId="6BA33B67"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assegurar o cumprimento do apetite a risco definido e submeter as propostas de alteração dos níveis de exposição a riscos ao titular da Unidade Organizacional;</w:t>
      </w:r>
    </w:p>
    <w:p w14:paraId="702ABF86"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comunicar, ao titular da Unidade Organizacional, as informações relevantes sobre a gestão de riscos para subsidiar o processo de tomada de decisão;</w:t>
      </w:r>
    </w:p>
    <w:p w14:paraId="3302611B"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 xml:space="preserve">avaliar os Planos de Respostas aos Riscos elaborados pelos Gestores de Processos, submetê-los ao titular da Unidade Organizacional para aprovação e encaminhá-los à DINTEG; </w:t>
      </w:r>
    </w:p>
    <w:p w14:paraId="7D541229"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analisar e emitir opinião sobre os Relatórios de Gestão de Riscos elaborados pelos Gestores de Processos, submetê-los ao titular da Unidade Organizacional e encaminhá-los à DINTEG;</w:t>
      </w:r>
    </w:p>
    <w:p w14:paraId="1D49A86E"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apoiar a cultura e as ações de capacitação em gestão de riscos; e</w:t>
      </w:r>
    </w:p>
    <w:p w14:paraId="2DCF4F6A"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atuar na articulação com os Gestores de Processos e com as demais Unidades responsáveis pela gestão de riscos no MS.</w:t>
      </w:r>
    </w:p>
    <w:p w14:paraId="05266BFB" w14:textId="77777777" w:rsidR="00FD7D45" w:rsidRDefault="00FD7D45" w:rsidP="00FD7D45">
      <w:pPr>
        <w:spacing w:before="60" w:after="120" w:line="360" w:lineRule="auto"/>
        <w:jc w:val="both"/>
        <w:rPr>
          <w:sz w:val="24"/>
          <w:szCs w:val="24"/>
        </w:rPr>
      </w:pPr>
      <w:r>
        <w:rPr>
          <w:sz w:val="24"/>
          <w:szCs w:val="24"/>
        </w:rPr>
        <w:tab/>
      </w:r>
    </w:p>
    <w:p w14:paraId="2E0920D3" w14:textId="77777777" w:rsidR="00FD7D45" w:rsidRPr="00143388" w:rsidRDefault="00FD7D45" w:rsidP="00586858">
      <w:pPr>
        <w:pStyle w:val="Ttulo1"/>
        <w:numPr>
          <w:ilvl w:val="1"/>
          <w:numId w:val="4"/>
        </w:numPr>
        <w:spacing w:before="120" w:after="120"/>
        <w:rPr>
          <w:rFonts w:asciiTheme="minorHAnsi" w:hAnsiTheme="minorHAnsi" w:cstheme="minorHAnsi"/>
          <w:sz w:val="26"/>
          <w:szCs w:val="26"/>
        </w:rPr>
      </w:pPr>
      <w:bookmarkStart w:id="12" w:name="_Toc74468858"/>
      <w:r w:rsidRPr="00143388">
        <w:rPr>
          <w:rFonts w:asciiTheme="minorHAnsi" w:hAnsiTheme="minorHAnsi" w:cstheme="minorHAnsi"/>
          <w:sz w:val="26"/>
          <w:szCs w:val="26"/>
        </w:rPr>
        <w:t>Gestor de Processo (GP)</w:t>
      </w:r>
      <w:bookmarkEnd w:id="12"/>
      <w:r w:rsidRPr="00143388">
        <w:rPr>
          <w:rFonts w:asciiTheme="minorHAnsi" w:hAnsiTheme="minorHAnsi" w:cstheme="minorHAnsi"/>
          <w:sz w:val="26"/>
          <w:szCs w:val="26"/>
        </w:rPr>
        <w:t xml:space="preserve"> </w:t>
      </w:r>
    </w:p>
    <w:p w14:paraId="2F3D11AD" w14:textId="77777777" w:rsidR="00FD7D45" w:rsidRDefault="00FD7D45" w:rsidP="00FD7D45">
      <w:pPr>
        <w:spacing w:before="60" w:after="120" w:line="360" w:lineRule="auto"/>
        <w:ind w:firstLine="708"/>
        <w:jc w:val="both"/>
        <w:rPr>
          <w:color w:val="00B0F0"/>
          <w:sz w:val="24"/>
          <w:szCs w:val="24"/>
        </w:rPr>
      </w:pPr>
    </w:p>
    <w:p w14:paraId="54DBD737" w14:textId="7ABF765D" w:rsidR="00FD7D45" w:rsidRPr="00136CA2" w:rsidRDefault="00FD7D45" w:rsidP="00FD7D45">
      <w:pPr>
        <w:spacing w:before="60" w:after="120" w:line="360" w:lineRule="auto"/>
        <w:ind w:firstLine="708"/>
        <w:jc w:val="both"/>
        <w:rPr>
          <w:rFonts w:cstheme="minorHAnsi"/>
          <w:sz w:val="24"/>
          <w:szCs w:val="24"/>
        </w:rPr>
      </w:pPr>
      <w:r w:rsidRPr="00136CA2">
        <w:rPr>
          <w:rFonts w:cstheme="minorHAnsi"/>
          <w:sz w:val="24"/>
          <w:szCs w:val="24"/>
        </w:rPr>
        <w:t xml:space="preserve">O Gestor de Processos é o responsável direto por determinado processo, inclusive pelo seu gerenciamento, também denominado dono do risco, e possui as seguintes competências de acordo com a </w:t>
      </w:r>
      <w:r w:rsidR="00095B35" w:rsidRPr="00136CA2">
        <w:rPr>
          <w:rFonts w:cstheme="minorHAnsi"/>
          <w:sz w:val="24"/>
          <w:szCs w:val="24"/>
        </w:rPr>
        <w:t>Portaria GM/MS 1.185, de 9 de junho de 2021</w:t>
      </w:r>
      <w:r w:rsidRPr="00136CA2">
        <w:rPr>
          <w:rFonts w:cstheme="minorHAnsi"/>
          <w:sz w:val="24"/>
          <w:szCs w:val="24"/>
        </w:rPr>
        <w:t>:</w:t>
      </w:r>
    </w:p>
    <w:p w14:paraId="10DC29C2"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alinhar o processo de  gerenciamento de riscos com os objetivos do planejamento estratégico institucional;</w:t>
      </w:r>
    </w:p>
    <w:p w14:paraId="693AA39B"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b/>
          <w:bCs/>
          <w:sz w:val="24"/>
          <w:szCs w:val="24"/>
        </w:rPr>
        <w:t>aplicar a Metodologia e utilizar as ferramentas da gestão de riscos nos processos sob sua responsabilidade</w:t>
      </w:r>
      <w:r w:rsidRPr="00136CA2">
        <w:rPr>
          <w:rFonts w:asciiTheme="minorHAnsi" w:hAnsiTheme="minorHAnsi" w:cstheme="minorHAnsi"/>
          <w:sz w:val="24"/>
          <w:szCs w:val="24"/>
        </w:rPr>
        <w:t>;</w:t>
      </w:r>
    </w:p>
    <w:p w14:paraId="09A370FD"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selecionar os processos sob sua responsabilidade que devam ter os riscos gerenciados e tratados com prioridade e propor sua inclusão no Plano de Gestão de Riscos;</w:t>
      </w:r>
    </w:p>
    <w:p w14:paraId="5E32612A"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 xml:space="preserve">observar o apetite a risco definido e propor alterações  dos níveis de exposição a riscos, quando for o caso; </w:t>
      </w:r>
    </w:p>
    <w:p w14:paraId="4DC67E7E"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gerar e comunicar à UGRI, informações relevantes sobre a gestão de riscos para subsidiar o processo de tomada de decisão;</w:t>
      </w:r>
    </w:p>
    <w:p w14:paraId="52EF99BD"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elaborar o Plano de Resposta aos Riscos dos processos sob sua responsabilidade;</w:t>
      </w:r>
    </w:p>
    <w:p w14:paraId="4CE9CC10"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avaliar os resultados da execução dos Planos de Resposta aos Riscos;</w:t>
      </w:r>
    </w:p>
    <w:p w14:paraId="40466AF0"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elaborar os Relatórios de Gestão de Riscos dos processos sob sua responsabilidade e encaminhar à UGRI para análise;</w:t>
      </w:r>
    </w:p>
    <w:p w14:paraId="68814CF5"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estimular a cultura e a capacitação em gestão de riscos; e</w:t>
      </w:r>
    </w:p>
    <w:p w14:paraId="43722FB1"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averiguar, ao longo do tempo, se os riscos de seus processos estão em níveis aceitáveis, considerando os controles implementados.</w:t>
      </w:r>
    </w:p>
    <w:p w14:paraId="0E9C673B" w14:textId="77777777" w:rsidR="00FD7D45" w:rsidRPr="00C94884" w:rsidRDefault="00FD7D45" w:rsidP="00FD7D45">
      <w:pPr>
        <w:pStyle w:val="PargrafodaLista"/>
        <w:spacing w:before="60" w:after="120" w:line="360" w:lineRule="auto"/>
        <w:ind w:left="360" w:firstLine="0"/>
        <w:rPr>
          <w:rFonts w:ascii="Calibri" w:hAnsi="Calibri" w:cs="Calibri"/>
          <w:sz w:val="24"/>
          <w:szCs w:val="24"/>
        </w:rPr>
      </w:pPr>
      <w:r w:rsidRPr="00C94884">
        <w:rPr>
          <w:rFonts w:ascii="Calibri" w:hAnsi="Calibri" w:cs="Calibri"/>
          <w:sz w:val="24"/>
          <w:szCs w:val="24"/>
        </w:rPr>
        <w:tab/>
      </w:r>
    </w:p>
    <w:p w14:paraId="2130F251" w14:textId="77777777" w:rsidR="00FD7D45" w:rsidRPr="00C94884" w:rsidRDefault="00FD7D45" w:rsidP="00586858">
      <w:pPr>
        <w:pStyle w:val="Ttulo1"/>
        <w:numPr>
          <w:ilvl w:val="1"/>
          <w:numId w:val="4"/>
        </w:numPr>
        <w:spacing w:before="120" w:after="120"/>
        <w:rPr>
          <w:rFonts w:ascii="Calibri" w:hAnsi="Calibri" w:cs="Calibri"/>
          <w:sz w:val="24"/>
          <w:szCs w:val="24"/>
        </w:rPr>
      </w:pPr>
      <w:bookmarkStart w:id="13" w:name="_Toc74468859"/>
      <w:r w:rsidRPr="00C94884">
        <w:rPr>
          <w:rFonts w:ascii="Calibri" w:hAnsi="Calibri" w:cs="Calibri"/>
          <w:sz w:val="24"/>
          <w:szCs w:val="24"/>
        </w:rPr>
        <w:t>Diretoria de Integridade (DINTEG)</w:t>
      </w:r>
      <w:bookmarkEnd w:id="13"/>
    </w:p>
    <w:p w14:paraId="6DCCC386" w14:textId="77777777" w:rsidR="00FD7D45" w:rsidRPr="00C94884" w:rsidRDefault="00FD7D45" w:rsidP="00FD7D45">
      <w:pPr>
        <w:spacing w:before="60" w:after="120" w:line="360" w:lineRule="auto"/>
        <w:jc w:val="both"/>
        <w:rPr>
          <w:rFonts w:ascii="Calibri" w:hAnsi="Calibri" w:cs="Calibri"/>
          <w:b/>
          <w:bCs/>
          <w:color w:val="FF0000"/>
          <w:sz w:val="24"/>
          <w:szCs w:val="24"/>
        </w:rPr>
      </w:pPr>
    </w:p>
    <w:p w14:paraId="6375CB10" w14:textId="1889E372" w:rsidR="00FD7D45" w:rsidRPr="00C94884" w:rsidRDefault="00FD7D45" w:rsidP="00FD7D45">
      <w:pPr>
        <w:spacing w:before="60" w:after="120" w:line="360" w:lineRule="auto"/>
        <w:ind w:firstLine="708"/>
        <w:jc w:val="both"/>
        <w:rPr>
          <w:rFonts w:ascii="Calibri" w:hAnsi="Calibri" w:cs="Calibri"/>
          <w:sz w:val="24"/>
          <w:szCs w:val="24"/>
        </w:rPr>
      </w:pPr>
      <w:r w:rsidRPr="00C94884">
        <w:rPr>
          <w:rFonts w:ascii="Calibri" w:hAnsi="Calibri" w:cs="Calibri"/>
          <w:sz w:val="24"/>
          <w:szCs w:val="24"/>
        </w:rPr>
        <w:t xml:space="preserve">A Diretoria de Integridade, no que se refere à gestão de riscos, possui as seguintes competências, de acordo com a </w:t>
      </w:r>
      <w:r w:rsidR="00095B35" w:rsidRPr="00C94884">
        <w:rPr>
          <w:rFonts w:ascii="Calibri" w:hAnsi="Calibri" w:cs="Calibri"/>
          <w:sz w:val="24"/>
          <w:szCs w:val="24"/>
        </w:rPr>
        <w:t>Portaria GM/MS 1.185, de 9 de junho de 2021</w:t>
      </w:r>
      <w:r w:rsidRPr="00C94884">
        <w:rPr>
          <w:rFonts w:ascii="Calibri" w:hAnsi="Calibri" w:cs="Calibri"/>
          <w:sz w:val="24"/>
          <w:szCs w:val="24"/>
        </w:rPr>
        <w:t>:</w:t>
      </w:r>
    </w:p>
    <w:p w14:paraId="38FC077E" w14:textId="77777777" w:rsidR="00FD7D45" w:rsidRPr="00C94884" w:rsidRDefault="00FD7D45" w:rsidP="00586858">
      <w:pPr>
        <w:pStyle w:val="PargrafodaLista"/>
        <w:numPr>
          <w:ilvl w:val="0"/>
          <w:numId w:val="5"/>
        </w:numPr>
        <w:spacing w:before="60" w:after="120" w:line="360" w:lineRule="auto"/>
        <w:rPr>
          <w:rFonts w:ascii="Calibri" w:hAnsi="Calibri" w:cs="Calibri"/>
          <w:sz w:val="24"/>
          <w:szCs w:val="24"/>
        </w:rPr>
      </w:pPr>
      <w:r w:rsidRPr="00C94884">
        <w:rPr>
          <w:rFonts w:ascii="Calibri" w:hAnsi="Calibri" w:cs="Calibri"/>
          <w:sz w:val="24"/>
          <w:szCs w:val="24"/>
        </w:rPr>
        <w:t>supervisionar o alinhamento da gestão de riscos com os objetivos do planejamento estratégico institucional;</w:t>
      </w:r>
    </w:p>
    <w:p w14:paraId="37B84F15" w14:textId="77777777" w:rsidR="00FD7D45" w:rsidRPr="00C94884" w:rsidRDefault="00FD7D45" w:rsidP="00586858">
      <w:pPr>
        <w:pStyle w:val="PargrafodaLista"/>
        <w:numPr>
          <w:ilvl w:val="0"/>
          <w:numId w:val="5"/>
        </w:numPr>
        <w:spacing w:before="60" w:after="120" w:line="360" w:lineRule="auto"/>
        <w:rPr>
          <w:rFonts w:ascii="Calibri" w:hAnsi="Calibri" w:cs="Calibri"/>
          <w:sz w:val="24"/>
          <w:szCs w:val="24"/>
        </w:rPr>
      </w:pPr>
      <w:r w:rsidRPr="00C94884">
        <w:rPr>
          <w:rFonts w:ascii="Calibri" w:hAnsi="Calibri" w:cs="Calibri"/>
          <w:b/>
          <w:bCs/>
          <w:sz w:val="24"/>
          <w:szCs w:val="24"/>
        </w:rPr>
        <w:t>propor Política, Metodologia e normas para a gestão de riscos</w:t>
      </w:r>
      <w:r w:rsidRPr="00C94884">
        <w:rPr>
          <w:rFonts w:ascii="Calibri" w:hAnsi="Calibri" w:cs="Calibri"/>
          <w:sz w:val="24"/>
          <w:szCs w:val="24"/>
        </w:rPr>
        <w:t xml:space="preserve">; </w:t>
      </w:r>
    </w:p>
    <w:p w14:paraId="34BE9818" w14:textId="77777777" w:rsidR="00FD7D45" w:rsidRPr="00C94884" w:rsidRDefault="00FD7D45" w:rsidP="00586858">
      <w:pPr>
        <w:pStyle w:val="PargrafodaLista"/>
        <w:numPr>
          <w:ilvl w:val="0"/>
          <w:numId w:val="5"/>
        </w:numPr>
        <w:spacing w:before="60" w:after="120" w:line="360" w:lineRule="auto"/>
        <w:rPr>
          <w:rFonts w:ascii="Calibri" w:hAnsi="Calibri" w:cs="Calibri"/>
          <w:sz w:val="24"/>
          <w:szCs w:val="24"/>
        </w:rPr>
      </w:pPr>
      <w:r w:rsidRPr="00C94884">
        <w:rPr>
          <w:rFonts w:ascii="Calibri" w:hAnsi="Calibri" w:cs="Calibri"/>
          <w:sz w:val="24"/>
          <w:szCs w:val="24"/>
        </w:rPr>
        <w:t>apoiar e assessorar as UGRI no processo de gerenciamento de riscos das suas Unidades Organizacionais;</w:t>
      </w:r>
    </w:p>
    <w:p w14:paraId="0EDDA4CB" w14:textId="77777777" w:rsidR="00FD7D45" w:rsidRPr="00C94884" w:rsidRDefault="00FD7D45" w:rsidP="00586858">
      <w:pPr>
        <w:pStyle w:val="PargrafodaLista"/>
        <w:numPr>
          <w:ilvl w:val="0"/>
          <w:numId w:val="5"/>
        </w:numPr>
        <w:spacing w:before="60" w:after="120" w:line="360" w:lineRule="auto"/>
        <w:rPr>
          <w:rFonts w:ascii="Calibri" w:hAnsi="Calibri" w:cs="Calibri"/>
          <w:sz w:val="24"/>
          <w:szCs w:val="24"/>
        </w:rPr>
      </w:pPr>
      <w:r w:rsidRPr="00C94884">
        <w:rPr>
          <w:rFonts w:ascii="Calibri" w:hAnsi="Calibri" w:cs="Calibri"/>
          <w:sz w:val="24"/>
          <w:szCs w:val="24"/>
        </w:rPr>
        <w:t>consolidar as informações apresentadas pelas UGRI para subsidiar a elaboração da proposta do Plano de Gestão de Riscos e sugerir ajustes, se for o caso;</w:t>
      </w:r>
    </w:p>
    <w:p w14:paraId="6807AB94" w14:textId="77777777" w:rsidR="00FD7D45" w:rsidRPr="00C94884" w:rsidRDefault="00FD7D45" w:rsidP="00586858">
      <w:pPr>
        <w:pStyle w:val="PargrafodaLista"/>
        <w:numPr>
          <w:ilvl w:val="0"/>
          <w:numId w:val="5"/>
        </w:numPr>
        <w:spacing w:before="60" w:after="120" w:line="360" w:lineRule="auto"/>
        <w:rPr>
          <w:rFonts w:ascii="Calibri" w:hAnsi="Calibri" w:cs="Calibri"/>
          <w:sz w:val="24"/>
          <w:szCs w:val="24"/>
        </w:rPr>
      </w:pPr>
      <w:r w:rsidRPr="00C94884">
        <w:rPr>
          <w:rFonts w:ascii="Calibri" w:hAnsi="Calibri" w:cs="Calibri"/>
          <w:sz w:val="24"/>
          <w:szCs w:val="24"/>
        </w:rPr>
        <w:t>contribuir com a definição de  apetite ao risco e monitorar as propostas de alteração dos níveis de exposição a riscos das Unidades Organizacionais;</w:t>
      </w:r>
    </w:p>
    <w:p w14:paraId="094E3093" w14:textId="77777777" w:rsidR="00FD7D45" w:rsidRPr="00C94884" w:rsidRDefault="00FD7D45" w:rsidP="00586858">
      <w:pPr>
        <w:pStyle w:val="PargrafodaLista"/>
        <w:numPr>
          <w:ilvl w:val="0"/>
          <w:numId w:val="5"/>
        </w:numPr>
        <w:spacing w:before="60" w:after="120" w:line="360" w:lineRule="auto"/>
        <w:rPr>
          <w:rFonts w:ascii="Calibri" w:hAnsi="Calibri" w:cs="Calibri"/>
          <w:sz w:val="24"/>
          <w:szCs w:val="24"/>
        </w:rPr>
      </w:pPr>
      <w:r w:rsidRPr="00C94884">
        <w:rPr>
          <w:rFonts w:ascii="Calibri" w:hAnsi="Calibri" w:cs="Calibri"/>
          <w:sz w:val="24"/>
          <w:szCs w:val="24"/>
        </w:rPr>
        <w:t>propor mecanismos de comunicação e de institucionalização da gestão de riscos;</w:t>
      </w:r>
    </w:p>
    <w:p w14:paraId="17AA28C8" w14:textId="77777777" w:rsidR="00FD7D45" w:rsidRPr="00C94884" w:rsidRDefault="00FD7D45" w:rsidP="00586858">
      <w:pPr>
        <w:pStyle w:val="PargrafodaLista"/>
        <w:numPr>
          <w:ilvl w:val="0"/>
          <w:numId w:val="5"/>
        </w:numPr>
        <w:spacing w:before="60" w:after="120" w:line="360" w:lineRule="auto"/>
        <w:rPr>
          <w:rFonts w:ascii="Calibri" w:hAnsi="Calibri" w:cs="Calibri"/>
          <w:sz w:val="24"/>
          <w:szCs w:val="24"/>
        </w:rPr>
      </w:pPr>
      <w:r w:rsidRPr="00C94884">
        <w:rPr>
          <w:rFonts w:ascii="Calibri" w:hAnsi="Calibri" w:cs="Calibri"/>
          <w:sz w:val="24"/>
          <w:szCs w:val="24"/>
        </w:rPr>
        <w:t>consolidar e comunicar, ao CGR e ao CIG, as informações relevantes sobre a gestão de riscos para subsidiar o processo de tomada de decisão;</w:t>
      </w:r>
    </w:p>
    <w:p w14:paraId="75EB4F07" w14:textId="77777777" w:rsidR="00FD7D45" w:rsidRPr="00C94884" w:rsidRDefault="00FD7D45" w:rsidP="00586858">
      <w:pPr>
        <w:pStyle w:val="PargrafodaLista"/>
        <w:numPr>
          <w:ilvl w:val="0"/>
          <w:numId w:val="5"/>
        </w:numPr>
        <w:spacing w:before="60" w:after="120" w:line="360" w:lineRule="auto"/>
        <w:rPr>
          <w:rFonts w:ascii="Calibri" w:hAnsi="Calibri" w:cs="Calibri"/>
          <w:sz w:val="24"/>
          <w:szCs w:val="24"/>
        </w:rPr>
      </w:pPr>
      <w:r w:rsidRPr="00C94884">
        <w:rPr>
          <w:rFonts w:ascii="Calibri" w:hAnsi="Calibri" w:cs="Calibri"/>
          <w:sz w:val="24"/>
          <w:szCs w:val="24"/>
        </w:rPr>
        <w:t>manifestar sobre os Planos de Respostas aos Riscos das Unidades Organizacionais, encaminhando ao CGR para análise e aprovação;</w:t>
      </w:r>
    </w:p>
    <w:p w14:paraId="5F43BF98" w14:textId="77777777" w:rsidR="00FD7D45" w:rsidRPr="00C94884" w:rsidRDefault="00FD7D45" w:rsidP="00586858">
      <w:pPr>
        <w:pStyle w:val="PargrafodaLista"/>
        <w:numPr>
          <w:ilvl w:val="0"/>
          <w:numId w:val="5"/>
        </w:numPr>
        <w:spacing w:before="60" w:after="120" w:line="360" w:lineRule="auto"/>
        <w:rPr>
          <w:rFonts w:ascii="Calibri" w:hAnsi="Calibri" w:cs="Calibri"/>
          <w:sz w:val="24"/>
          <w:szCs w:val="24"/>
        </w:rPr>
      </w:pPr>
      <w:r w:rsidRPr="00C94884">
        <w:rPr>
          <w:rFonts w:ascii="Calibri" w:hAnsi="Calibri" w:cs="Calibri"/>
          <w:sz w:val="24"/>
          <w:szCs w:val="24"/>
        </w:rPr>
        <w:t>acompanhar a implementação dos Planos de Respostas aos Riscos e comunicar o seu estágio de execução ao CGR;</w:t>
      </w:r>
    </w:p>
    <w:p w14:paraId="451A1464" w14:textId="77777777" w:rsidR="00FD7D45" w:rsidRPr="00C94884" w:rsidRDefault="00FD7D45" w:rsidP="00586858">
      <w:pPr>
        <w:pStyle w:val="PargrafodaLista"/>
        <w:numPr>
          <w:ilvl w:val="0"/>
          <w:numId w:val="5"/>
        </w:numPr>
        <w:spacing w:before="60" w:after="120" w:line="360" w:lineRule="auto"/>
        <w:rPr>
          <w:rFonts w:ascii="Calibri" w:hAnsi="Calibri" w:cs="Calibri"/>
          <w:sz w:val="24"/>
          <w:szCs w:val="24"/>
        </w:rPr>
      </w:pPr>
      <w:r w:rsidRPr="00C94884">
        <w:rPr>
          <w:rFonts w:ascii="Calibri" w:hAnsi="Calibri" w:cs="Calibri"/>
          <w:sz w:val="24"/>
          <w:szCs w:val="24"/>
        </w:rPr>
        <w:t>elaborar, anualmente, o relatório de avaliação de desempenho institucional da gestão de riscos e submetê-lo ao CGR;</w:t>
      </w:r>
    </w:p>
    <w:p w14:paraId="148D28EE" w14:textId="77777777" w:rsidR="00FD7D45" w:rsidRPr="00C94884" w:rsidRDefault="00FD7D45" w:rsidP="00586858">
      <w:pPr>
        <w:pStyle w:val="PargrafodaLista"/>
        <w:numPr>
          <w:ilvl w:val="0"/>
          <w:numId w:val="5"/>
        </w:numPr>
        <w:spacing w:before="60" w:after="120" w:line="360" w:lineRule="auto"/>
        <w:rPr>
          <w:rFonts w:ascii="Calibri" w:hAnsi="Calibri" w:cs="Calibri"/>
          <w:sz w:val="24"/>
          <w:szCs w:val="24"/>
        </w:rPr>
      </w:pPr>
      <w:r w:rsidRPr="00C94884">
        <w:rPr>
          <w:rFonts w:ascii="Calibri" w:hAnsi="Calibri" w:cs="Calibri"/>
          <w:sz w:val="24"/>
          <w:szCs w:val="24"/>
        </w:rPr>
        <w:t>promover a cultura  e as ações de capacitação em gestão de riscos;</w:t>
      </w:r>
    </w:p>
    <w:p w14:paraId="0667FBD2" w14:textId="77777777" w:rsidR="00FD7D45" w:rsidRPr="00C94884" w:rsidRDefault="00FD7D45" w:rsidP="00586858">
      <w:pPr>
        <w:pStyle w:val="PargrafodaLista"/>
        <w:numPr>
          <w:ilvl w:val="0"/>
          <w:numId w:val="5"/>
        </w:numPr>
        <w:spacing w:before="60" w:after="120" w:line="360" w:lineRule="auto"/>
        <w:rPr>
          <w:rFonts w:ascii="Calibri" w:hAnsi="Calibri" w:cs="Calibri"/>
          <w:sz w:val="24"/>
          <w:szCs w:val="24"/>
        </w:rPr>
      </w:pPr>
      <w:r w:rsidRPr="00C94884">
        <w:rPr>
          <w:rFonts w:ascii="Calibri" w:hAnsi="Calibri" w:cs="Calibri"/>
          <w:sz w:val="24"/>
          <w:szCs w:val="24"/>
        </w:rPr>
        <w:t>acompanhar o resultado da gestão de riscos e propor os encaminhamentos necessários;</w:t>
      </w:r>
    </w:p>
    <w:p w14:paraId="5E345418" w14:textId="77777777" w:rsidR="00FD7D45" w:rsidRPr="00C94884" w:rsidRDefault="00FD7D45" w:rsidP="00586858">
      <w:pPr>
        <w:pStyle w:val="PargrafodaLista"/>
        <w:numPr>
          <w:ilvl w:val="0"/>
          <w:numId w:val="5"/>
        </w:numPr>
        <w:spacing w:before="60" w:after="120" w:line="360" w:lineRule="auto"/>
        <w:rPr>
          <w:rFonts w:ascii="Calibri" w:hAnsi="Calibri" w:cs="Calibri"/>
          <w:sz w:val="24"/>
          <w:szCs w:val="24"/>
        </w:rPr>
      </w:pPr>
      <w:r w:rsidRPr="00C94884">
        <w:rPr>
          <w:rFonts w:ascii="Calibri" w:hAnsi="Calibri" w:cs="Calibri"/>
          <w:sz w:val="24"/>
          <w:szCs w:val="24"/>
        </w:rPr>
        <w:t>apoiar a implantação e melhoria contínua do processo de gerenciamento de riscos; e</w:t>
      </w:r>
    </w:p>
    <w:p w14:paraId="188B0E63" w14:textId="77777777" w:rsidR="00FD7D45" w:rsidRPr="00C94884" w:rsidRDefault="00FD7D45" w:rsidP="00586858">
      <w:pPr>
        <w:pStyle w:val="PargrafodaLista"/>
        <w:numPr>
          <w:ilvl w:val="0"/>
          <w:numId w:val="5"/>
        </w:numPr>
        <w:spacing w:before="60" w:after="120" w:line="360" w:lineRule="auto"/>
        <w:rPr>
          <w:rFonts w:ascii="Calibri" w:hAnsi="Calibri" w:cs="Calibri"/>
          <w:sz w:val="24"/>
          <w:szCs w:val="24"/>
        </w:rPr>
      </w:pPr>
      <w:r w:rsidRPr="00C94884">
        <w:rPr>
          <w:rFonts w:ascii="Calibri" w:hAnsi="Calibri" w:cs="Calibri"/>
          <w:sz w:val="24"/>
          <w:szCs w:val="24"/>
        </w:rPr>
        <w:t>assessorar  tecnicamente o Comitê Interno de Governança e o Comitê de Gestão de Riscos.</w:t>
      </w:r>
    </w:p>
    <w:p w14:paraId="29B3B47F" w14:textId="77777777" w:rsidR="00FD7D45" w:rsidRPr="00C94884" w:rsidRDefault="00FD7D45" w:rsidP="00FD7D45">
      <w:pPr>
        <w:spacing w:before="60" w:after="120" w:line="360" w:lineRule="auto"/>
        <w:ind w:firstLine="708"/>
        <w:jc w:val="both"/>
        <w:rPr>
          <w:rFonts w:ascii="Calibri" w:hAnsi="Calibri" w:cs="Calibri"/>
          <w:sz w:val="24"/>
          <w:szCs w:val="24"/>
        </w:rPr>
      </w:pPr>
      <w:r w:rsidRPr="00C94884">
        <w:rPr>
          <w:rFonts w:ascii="Calibri" w:hAnsi="Calibri" w:cs="Calibri"/>
          <w:sz w:val="24"/>
          <w:szCs w:val="24"/>
        </w:rPr>
        <w:t xml:space="preserve"> </w:t>
      </w:r>
    </w:p>
    <w:p w14:paraId="6E203F61" w14:textId="77777777" w:rsidR="00FD7D45" w:rsidRPr="00C94884" w:rsidRDefault="00FD7D45" w:rsidP="00586858">
      <w:pPr>
        <w:pStyle w:val="Ttulo1"/>
        <w:numPr>
          <w:ilvl w:val="1"/>
          <w:numId w:val="4"/>
        </w:numPr>
        <w:spacing w:before="120" w:after="120"/>
        <w:rPr>
          <w:rFonts w:ascii="Calibri" w:hAnsi="Calibri" w:cs="Calibri"/>
          <w:sz w:val="24"/>
          <w:szCs w:val="24"/>
        </w:rPr>
      </w:pPr>
      <w:bookmarkStart w:id="14" w:name="_Toc74468860"/>
      <w:r w:rsidRPr="00C94884">
        <w:rPr>
          <w:rFonts w:ascii="Calibri" w:hAnsi="Calibri" w:cs="Calibri"/>
          <w:sz w:val="24"/>
          <w:szCs w:val="24"/>
        </w:rPr>
        <w:t>Departamento Nacional de Audiroria do SUS (DENASUS)</w:t>
      </w:r>
      <w:bookmarkEnd w:id="14"/>
    </w:p>
    <w:p w14:paraId="662C64DF" w14:textId="77777777" w:rsidR="00FD7D45" w:rsidRPr="00C94884" w:rsidRDefault="00FD7D45" w:rsidP="00FD7D45">
      <w:pPr>
        <w:spacing w:before="60" w:after="120" w:line="360" w:lineRule="auto"/>
        <w:ind w:firstLine="708"/>
        <w:jc w:val="both"/>
        <w:rPr>
          <w:rFonts w:ascii="Calibri" w:hAnsi="Calibri" w:cs="Calibri"/>
          <w:sz w:val="24"/>
          <w:szCs w:val="24"/>
        </w:rPr>
      </w:pPr>
    </w:p>
    <w:p w14:paraId="5026A9EF" w14:textId="503CEBF9" w:rsidR="00FD7D45" w:rsidRPr="00C94884" w:rsidRDefault="00FD7D45" w:rsidP="00FD7D45">
      <w:pPr>
        <w:spacing w:before="60" w:after="120" w:line="360" w:lineRule="auto"/>
        <w:ind w:firstLine="708"/>
        <w:jc w:val="both"/>
        <w:rPr>
          <w:rFonts w:ascii="Calibri" w:hAnsi="Calibri" w:cs="Calibri"/>
          <w:color w:val="FF0000"/>
          <w:sz w:val="24"/>
          <w:szCs w:val="24"/>
        </w:rPr>
      </w:pPr>
      <w:r w:rsidRPr="00C94884">
        <w:rPr>
          <w:rFonts w:ascii="Calibri" w:hAnsi="Calibri" w:cs="Calibri"/>
          <w:sz w:val="24"/>
          <w:szCs w:val="24"/>
        </w:rPr>
        <w:t xml:space="preserve">Ao DENASUS, no que se refere à gestão de riscos, possui as seguintes competências, de acordo com a </w:t>
      </w:r>
      <w:r w:rsidR="00095B35" w:rsidRPr="00C94884">
        <w:rPr>
          <w:rFonts w:ascii="Calibri" w:hAnsi="Calibri" w:cs="Calibri"/>
          <w:sz w:val="24"/>
          <w:szCs w:val="24"/>
        </w:rPr>
        <w:t>Portaria GM/MS 1.185, de 9 de junho de 2021</w:t>
      </w:r>
      <w:r w:rsidRPr="00C94884">
        <w:rPr>
          <w:rFonts w:ascii="Calibri" w:hAnsi="Calibri" w:cs="Calibri"/>
          <w:sz w:val="24"/>
          <w:szCs w:val="24"/>
        </w:rPr>
        <w:t>:</w:t>
      </w:r>
    </w:p>
    <w:p w14:paraId="76521761" w14:textId="77777777" w:rsidR="00FD7D45" w:rsidRPr="00C94884" w:rsidRDefault="00FD7D45" w:rsidP="00586858">
      <w:pPr>
        <w:pStyle w:val="PargrafodaLista"/>
        <w:numPr>
          <w:ilvl w:val="0"/>
          <w:numId w:val="5"/>
        </w:numPr>
        <w:spacing w:before="60" w:after="120" w:line="360" w:lineRule="auto"/>
        <w:rPr>
          <w:rFonts w:ascii="Calibri" w:hAnsi="Calibri" w:cs="Calibri"/>
          <w:sz w:val="24"/>
          <w:szCs w:val="24"/>
        </w:rPr>
      </w:pPr>
      <w:r w:rsidRPr="00C94884">
        <w:rPr>
          <w:rFonts w:ascii="Calibri" w:hAnsi="Calibri" w:cs="Calibri"/>
          <w:sz w:val="24"/>
          <w:szCs w:val="24"/>
        </w:rPr>
        <w:t>avaliar, de forma independente, a gestão de riscos do MS;</w:t>
      </w:r>
    </w:p>
    <w:p w14:paraId="4657D11C" w14:textId="77777777" w:rsidR="00FD7D45" w:rsidRPr="00C94884" w:rsidRDefault="00FD7D45" w:rsidP="00586858">
      <w:pPr>
        <w:pStyle w:val="PargrafodaLista"/>
        <w:numPr>
          <w:ilvl w:val="0"/>
          <w:numId w:val="5"/>
        </w:numPr>
        <w:spacing w:before="60" w:after="120" w:line="360" w:lineRule="auto"/>
        <w:rPr>
          <w:rFonts w:ascii="Calibri" w:hAnsi="Calibri" w:cs="Calibri"/>
          <w:sz w:val="24"/>
          <w:szCs w:val="24"/>
        </w:rPr>
      </w:pPr>
      <w:r w:rsidRPr="00C94884">
        <w:rPr>
          <w:rFonts w:ascii="Calibri" w:hAnsi="Calibri" w:cs="Calibri"/>
          <w:sz w:val="24"/>
          <w:szCs w:val="24"/>
        </w:rPr>
        <w:t>avaliar o alinhamento da gestão de riscos com os objetivos do planejamento estratégico institucional; e</w:t>
      </w:r>
    </w:p>
    <w:p w14:paraId="31FDF62A" w14:textId="77777777" w:rsidR="00FD7D45" w:rsidRPr="00C94884" w:rsidRDefault="00FD7D45" w:rsidP="00586858">
      <w:pPr>
        <w:pStyle w:val="PargrafodaLista"/>
        <w:numPr>
          <w:ilvl w:val="0"/>
          <w:numId w:val="5"/>
        </w:numPr>
        <w:spacing w:before="60" w:after="120" w:line="360" w:lineRule="auto"/>
        <w:rPr>
          <w:rFonts w:ascii="Calibri" w:hAnsi="Calibri" w:cs="Calibri"/>
          <w:sz w:val="24"/>
          <w:szCs w:val="24"/>
        </w:rPr>
      </w:pPr>
      <w:r w:rsidRPr="00C94884">
        <w:rPr>
          <w:rFonts w:ascii="Calibri" w:hAnsi="Calibri" w:cs="Calibri"/>
          <w:sz w:val="24"/>
          <w:szCs w:val="24"/>
        </w:rPr>
        <w:t>subsidiar as áreas técnicas com os resultados das auditorias, de forma a auxiliar na seleção de processos prioritários para o gerenciamento de riscos.</w:t>
      </w:r>
    </w:p>
    <w:p w14:paraId="76D97EAC" w14:textId="77777777" w:rsidR="00FD7D45" w:rsidRPr="00C94884" w:rsidRDefault="00FD7D45" w:rsidP="00FD7D45">
      <w:pPr>
        <w:spacing w:before="60" w:after="120" w:line="360" w:lineRule="auto"/>
        <w:ind w:firstLine="720"/>
        <w:jc w:val="both"/>
        <w:rPr>
          <w:rFonts w:ascii="Calibri" w:hAnsi="Calibri" w:cs="Calibri"/>
          <w:color w:val="FF0000"/>
          <w:sz w:val="24"/>
          <w:szCs w:val="24"/>
        </w:rPr>
      </w:pPr>
    </w:p>
    <w:p w14:paraId="10DD8F63" w14:textId="77777777" w:rsidR="00FD7D45" w:rsidRPr="00C94884" w:rsidRDefault="00FD7D45" w:rsidP="00586858">
      <w:pPr>
        <w:pStyle w:val="Ttulo1"/>
        <w:numPr>
          <w:ilvl w:val="0"/>
          <w:numId w:val="4"/>
        </w:numPr>
        <w:spacing w:before="120" w:after="120"/>
        <w:rPr>
          <w:rFonts w:ascii="Calibri" w:hAnsi="Calibri" w:cs="Calibri"/>
          <w:b/>
          <w:bCs/>
          <w:sz w:val="24"/>
          <w:szCs w:val="24"/>
        </w:rPr>
      </w:pPr>
      <w:bookmarkStart w:id="15" w:name="_Toc74468861"/>
      <w:r w:rsidRPr="00C94884">
        <w:rPr>
          <w:rFonts w:ascii="Calibri" w:hAnsi="Calibri" w:cs="Calibri"/>
          <w:b/>
          <w:bCs/>
          <w:sz w:val="24"/>
          <w:szCs w:val="24"/>
        </w:rPr>
        <w:t>MÉTODO DE PRIORIZAÇÃO DE PROCESSOS (MPP)</w:t>
      </w:r>
      <w:bookmarkEnd w:id="15"/>
    </w:p>
    <w:p w14:paraId="1ED28908" w14:textId="77777777" w:rsidR="00FD7D45" w:rsidRPr="00C94884" w:rsidRDefault="00FD7D45" w:rsidP="00FD7D45">
      <w:pPr>
        <w:spacing w:before="60" w:after="120" w:line="360" w:lineRule="auto"/>
        <w:ind w:firstLine="720"/>
        <w:jc w:val="both"/>
        <w:rPr>
          <w:rFonts w:ascii="Calibri" w:hAnsi="Calibri" w:cs="Calibri"/>
          <w:color w:val="FF0000"/>
          <w:sz w:val="24"/>
          <w:szCs w:val="24"/>
        </w:rPr>
      </w:pPr>
    </w:p>
    <w:p w14:paraId="0DDFB700" w14:textId="549CD1ED" w:rsidR="00FD7D45" w:rsidRPr="00C94884" w:rsidRDefault="00FD7D45" w:rsidP="00FD7D45">
      <w:pPr>
        <w:spacing w:before="60" w:after="120" w:line="360" w:lineRule="auto"/>
        <w:ind w:firstLine="720"/>
        <w:jc w:val="both"/>
        <w:rPr>
          <w:rFonts w:ascii="Calibri" w:hAnsi="Calibri" w:cs="Calibri"/>
          <w:sz w:val="24"/>
          <w:szCs w:val="24"/>
        </w:rPr>
      </w:pPr>
      <w:r w:rsidRPr="00C94884">
        <w:rPr>
          <w:rFonts w:ascii="Calibri" w:hAnsi="Calibri" w:cs="Calibri"/>
          <w:sz w:val="24"/>
          <w:szCs w:val="24"/>
        </w:rPr>
        <w:t xml:space="preserve">O Método de Priorização de Processos é uma ferramenta que permite classificar os processos da Cadeia de Valor vinculados aos Objetivos do Mapa Estratégico, registrados no Plano Nacional de Saúde (PNS) / Plano Plurianual (PPA), em: </w:t>
      </w:r>
      <w:r w:rsidRPr="00C94884">
        <w:rPr>
          <w:rFonts w:ascii="Calibri" w:hAnsi="Calibri" w:cs="Calibri"/>
          <w:b/>
          <w:bCs/>
          <w:sz w:val="24"/>
          <w:szCs w:val="24"/>
        </w:rPr>
        <w:t>PA - Prioridade Alta</w:t>
      </w:r>
      <w:r w:rsidRPr="00C94884">
        <w:rPr>
          <w:rFonts w:ascii="Calibri" w:hAnsi="Calibri" w:cs="Calibri"/>
          <w:sz w:val="24"/>
          <w:szCs w:val="24"/>
        </w:rPr>
        <w:t xml:space="preserve">, </w:t>
      </w:r>
      <w:r w:rsidRPr="00C94884">
        <w:rPr>
          <w:rFonts w:ascii="Calibri" w:hAnsi="Calibri" w:cs="Calibri"/>
          <w:b/>
          <w:bCs/>
          <w:sz w:val="24"/>
          <w:szCs w:val="24"/>
        </w:rPr>
        <w:t>PM - Prioridade Média e PB - Prioridade Baixa</w:t>
      </w:r>
      <w:r w:rsidRPr="00C94884">
        <w:rPr>
          <w:rFonts w:ascii="Calibri" w:hAnsi="Calibri" w:cs="Calibri"/>
          <w:sz w:val="24"/>
          <w:szCs w:val="24"/>
        </w:rPr>
        <w:t>, em função do seu grau de exposição, para a execução do gerenciamento de riscos.</w:t>
      </w:r>
      <w:r w:rsidRPr="00C94884">
        <w:rPr>
          <w:rFonts w:ascii="Calibri" w:hAnsi="Calibri" w:cs="Calibri"/>
          <w:b/>
          <w:bCs/>
          <w:sz w:val="24"/>
          <w:szCs w:val="24"/>
        </w:rPr>
        <w:t xml:space="preserve"> </w:t>
      </w:r>
    </w:p>
    <w:p w14:paraId="5A7C2C3A" w14:textId="72E47A78" w:rsidR="00FD7D45" w:rsidRPr="00C94884" w:rsidRDefault="00FD7D45" w:rsidP="00FD7D45">
      <w:pPr>
        <w:spacing w:before="60" w:after="120" w:line="360" w:lineRule="auto"/>
        <w:ind w:firstLine="720"/>
        <w:jc w:val="both"/>
        <w:rPr>
          <w:rFonts w:ascii="Calibri" w:hAnsi="Calibri" w:cs="Calibri"/>
          <w:sz w:val="24"/>
          <w:szCs w:val="24"/>
        </w:rPr>
      </w:pPr>
      <w:r w:rsidRPr="00C94884">
        <w:rPr>
          <w:rFonts w:ascii="Calibri" w:hAnsi="Calibri" w:cs="Calibri"/>
          <w:sz w:val="24"/>
          <w:szCs w:val="24"/>
        </w:rPr>
        <w:t xml:space="preserve">O MPP deverá ser utilizado pelos gestores de processos </w:t>
      </w:r>
      <w:r w:rsidRPr="00C94884">
        <w:rPr>
          <w:rFonts w:ascii="Calibri" w:hAnsi="Calibri" w:cs="Calibri"/>
          <w:bCs/>
          <w:sz w:val="24"/>
          <w:szCs w:val="24"/>
        </w:rPr>
        <w:t xml:space="preserve">para listar e classificar os processos sob a sua gestão, cujo resultado </w:t>
      </w:r>
      <w:r w:rsidR="00983CBF" w:rsidRPr="00C94884">
        <w:rPr>
          <w:rFonts w:ascii="Calibri" w:hAnsi="Calibri" w:cs="Calibri"/>
          <w:bCs/>
          <w:sz w:val="24"/>
          <w:szCs w:val="24"/>
        </w:rPr>
        <w:t xml:space="preserve">será </w:t>
      </w:r>
      <w:r w:rsidR="00983CBF" w:rsidRPr="00C94884">
        <w:rPr>
          <w:rFonts w:ascii="Calibri" w:hAnsi="Calibri" w:cs="Calibri"/>
          <w:sz w:val="24"/>
          <w:szCs w:val="24"/>
        </w:rPr>
        <w:t>analisado</w:t>
      </w:r>
      <w:r w:rsidRPr="00C94884">
        <w:rPr>
          <w:rFonts w:ascii="Calibri" w:hAnsi="Calibri" w:cs="Calibri"/>
          <w:sz w:val="24"/>
          <w:szCs w:val="24"/>
        </w:rPr>
        <w:t xml:space="preserve"> e consolidado pela UGRI, incluído no Plano de Gestão de Riscos e encaminhado ao titular da Unidade </w:t>
      </w:r>
      <w:r w:rsidR="00983CBF" w:rsidRPr="00C94884">
        <w:rPr>
          <w:rFonts w:ascii="Calibri" w:hAnsi="Calibri" w:cs="Calibri"/>
          <w:sz w:val="24"/>
          <w:szCs w:val="24"/>
        </w:rPr>
        <w:t>para aprovação</w:t>
      </w:r>
      <w:r w:rsidRPr="00C94884">
        <w:rPr>
          <w:rFonts w:ascii="Calibri" w:hAnsi="Calibri" w:cs="Calibri"/>
          <w:sz w:val="24"/>
          <w:szCs w:val="24"/>
        </w:rPr>
        <w:t>. Após a aprovação do Plano de Gestão de Riscos da Unidade, a UGRI encaminhará à DINTEG para compor o Plano de Gestão de Riscos do Ministério da Saúde.</w:t>
      </w:r>
    </w:p>
    <w:p w14:paraId="68B993DF" w14:textId="5F65D267" w:rsidR="00FD7D45" w:rsidRPr="00C94884" w:rsidRDefault="00FD7D45" w:rsidP="00FD7D45">
      <w:pPr>
        <w:spacing w:before="60" w:after="120" w:line="360" w:lineRule="auto"/>
        <w:ind w:firstLine="708"/>
        <w:jc w:val="both"/>
        <w:rPr>
          <w:rFonts w:ascii="Calibri" w:hAnsi="Calibri" w:cs="Calibri"/>
          <w:sz w:val="24"/>
          <w:szCs w:val="24"/>
        </w:rPr>
      </w:pPr>
      <w:r w:rsidRPr="00C94884">
        <w:rPr>
          <w:rFonts w:ascii="Calibri" w:hAnsi="Calibri" w:cs="Calibri"/>
          <w:sz w:val="24"/>
          <w:szCs w:val="24"/>
        </w:rPr>
        <w:t xml:space="preserve"> O Método de Priorização consta do Apêndice I e é parte integrante desta </w:t>
      </w:r>
      <w:r w:rsidR="00983CBF" w:rsidRPr="00C94884">
        <w:rPr>
          <w:rFonts w:ascii="Calibri" w:hAnsi="Calibri" w:cs="Calibri"/>
          <w:sz w:val="24"/>
          <w:szCs w:val="24"/>
        </w:rPr>
        <w:t>Metodologia</w:t>
      </w:r>
      <w:r w:rsidRPr="00C94884">
        <w:rPr>
          <w:rFonts w:ascii="Calibri" w:hAnsi="Calibri" w:cs="Calibri"/>
          <w:sz w:val="24"/>
          <w:szCs w:val="24"/>
        </w:rPr>
        <w:t>.</w:t>
      </w:r>
    </w:p>
    <w:p w14:paraId="326AB3F2" w14:textId="77777777" w:rsidR="00FD7D45" w:rsidRPr="00C94884" w:rsidRDefault="00FD7D45" w:rsidP="00FD7D45">
      <w:pPr>
        <w:spacing w:before="60" w:after="120" w:line="360" w:lineRule="auto"/>
        <w:ind w:firstLine="708"/>
        <w:jc w:val="both"/>
        <w:rPr>
          <w:rFonts w:ascii="Calibri" w:hAnsi="Calibri" w:cs="Calibri"/>
          <w:color w:val="FF0000"/>
          <w:sz w:val="24"/>
          <w:szCs w:val="24"/>
        </w:rPr>
      </w:pPr>
    </w:p>
    <w:p w14:paraId="42860DE6" w14:textId="77777777" w:rsidR="00FD7D45" w:rsidRPr="00C94884" w:rsidRDefault="00FD7D45" w:rsidP="00586858">
      <w:pPr>
        <w:pStyle w:val="Ttulo1"/>
        <w:numPr>
          <w:ilvl w:val="0"/>
          <w:numId w:val="4"/>
        </w:numPr>
        <w:spacing w:before="120" w:after="120"/>
        <w:rPr>
          <w:rFonts w:ascii="Calibri" w:hAnsi="Calibri" w:cs="Calibri"/>
          <w:b/>
          <w:bCs/>
          <w:sz w:val="24"/>
          <w:szCs w:val="24"/>
        </w:rPr>
      </w:pPr>
      <w:bookmarkStart w:id="16" w:name="_Toc74468862"/>
      <w:r w:rsidRPr="00C94884">
        <w:rPr>
          <w:rFonts w:ascii="Calibri" w:hAnsi="Calibri" w:cs="Calibri"/>
          <w:b/>
          <w:bCs/>
          <w:sz w:val="24"/>
          <w:szCs w:val="24"/>
        </w:rPr>
        <w:t>PLANO DE GESTÃO DE RISCOS</w:t>
      </w:r>
      <w:bookmarkEnd w:id="16"/>
    </w:p>
    <w:p w14:paraId="2BD0193B" w14:textId="77777777" w:rsidR="00FD7D45" w:rsidRPr="00C94884" w:rsidRDefault="00FD7D45" w:rsidP="00FD7D45">
      <w:pPr>
        <w:pStyle w:val="Ttulo1"/>
        <w:spacing w:before="120" w:after="120"/>
        <w:ind w:left="0"/>
        <w:rPr>
          <w:rFonts w:ascii="Calibri" w:hAnsi="Calibri" w:cs="Calibri"/>
          <w:b/>
          <w:bCs/>
          <w:sz w:val="24"/>
          <w:szCs w:val="24"/>
        </w:rPr>
      </w:pPr>
    </w:p>
    <w:p w14:paraId="6964BCC1" w14:textId="77777777" w:rsidR="00FD7D45" w:rsidRPr="00C94884" w:rsidRDefault="00FD7D45" w:rsidP="00FD7D45">
      <w:pPr>
        <w:spacing w:before="60" w:after="120" w:line="360" w:lineRule="auto"/>
        <w:ind w:firstLine="720"/>
        <w:jc w:val="both"/>
        <w:rPr>
          <w:rFonts w:ascii="Calibri" w:hAnsi="Calibri" w:cs="Calibri"/>
          <w:sz w:val="24"/>
          <w:szCs w:val="24"/>
        </w:rPr>
      </w:pPr>
      <w:r w:rsidRPr="00C94884">
        <w:rPr>
          <w:rFonts w:ascii="Calibri" w:hAnsi="Calibri" w:cs="Calibri"/>
          <w:sz w:val="24"/>
          <w:szCs w:val="24"/>
        </w:rPr>
        <w:t>O Plano de Gestão de Riscos é um documento que orienta a operacionalização do gerenciamento de riscos, em cumprimento aos princípios e diretrizes da Política de Gestão de Riscos e da Declaração de Apetite a Risco do Ministério da Saúde.</w:t>
      </w:r>
    </w:p>
    <w:p w14:paraId="58AA2D86" w14:textId="3237EAED" w:rsidR="00FD7D45" w:rsidRPr="00C94884" w:rsidRDefault="00FD7D45" w:rsidP="00FD7D45">
      <w:pPr>
        <w:spacing w:before="60" w:after="120" w:line="360" w:lineRule="auto"/>
        <w:ind w:firstLine="720"/>
        <w:jc w:val="both"/>
        <w:rPr>
          <w:rFonts w:ascii="Calibri" w:hAnsi="Calibri" w:cs="Calibri"/>
          <w:sz w:val="24"/>
          <w:szCs w:val="24"/>
        </w:rPr>
      </w:pPr>
      <w:r w:rsidRPr="00C94884">
        <w:rPr>
          <w:rFonts w:ascii="Calibri" w:hAnsi="Calibri" w:cs="Calibri"/>
          <w:sz w:val="24"/>
          <w:szCs w:val="24"/>
        </w:rPr>
        <w:t xml:space="preserve">Dessa forma o Plano de Gestão de Riscos apresentará, por Unidade (Secretarias, Departamentos, </w:t>
      </w:r>
      <w:r w:rsidR="00983CBF" w:rsidRPr="00C94884">
        <w:rPr>
          <w:rFonts w:ascii="Calibri" w:hAnsi="Calibri" w:cs="Calibri"/>
          <w:sz w:val="24"/>
          <w:szCs w:val="24"/>
        </w:rPr>
        <w:t>Coordenações</w:t>
      </w:r>
      <w:r w:rsidRPr="00C94884">
        <w:rPr>
          <w:rFonts w:ascii="Calibri" w:hAnsi="Calibri" w:cs="Calibri"/>
          <w:sz w:val="24"/>
          <w:szCs w:val="24"/>
        </w:rPr>
        <w:t xml:space="preserve"> e demais Órgãos), os processos que terão os </w:t>
      </w:r>
      <w:r w:rsidR="00983CBF" w:rsidRPr="00C94884">
        <w:rPr>
          <w:rFonts w:ascii="Calibri" w:hAnsi="Calibri" w:cs="Calibri"/>
          <w:sz w:val="24"/>
          <w:szCs w:val="24"/>
        </w:rPr>
        <w:t>riscos mapeados</w:t>
      </w:r>
      <w:r w:rsidRPr="00C94884">
        <w:rPr>
          <w:rFonts w:ascii="Calibri" w:hAnsi="Calibri" w:cs="Calibri"/>
          <w:sz w:val="24"/>
          <w:szCs w:val="24"/>
        </w:rPr>
        <w:t xml:space="preserve"> e gerenciados prioritariamente em um determinado período. Na elaboração do Plano, as Unidades devem utilizar o Método de Priorização de Processos (MPP), constante do </w:t>
      </w:r>
      <w:r w:rsidR="00983CBF" w:rsidRPr="00C94884">
        <w:rPr>
          <w:rFonts w:ascii="Calibri" w:hAnsi="Calibri" w:cs="Calibri"/>
          <w:sz w:val="24"/>
          <w:szCs w:val="24"/>
        </w:rPr>
        <w:t>Apêndice</w:t>
      </w:r>
      <w:r w:rsidRPr="00C94884">
        <w:rPr>
          <w:rFonts w:ascii="Calibri" w:hAnsi="Calibri" w:cs="Calibri"/>
          <w:sz w:val="24"/>
          <w:szCs w:val="24"/>
        </w:rPr>
        <w:t xml:space="preserve"> I. </w:t>
      </w:r>
    </w:p>
    <w:p w14:paraId="13A15FB9" w14:textId="1CB7CF2F" w:rsidR="00FD7D45" w:rsidRPr="00C94884" w:rsidRDefault="00FD7D45" w:rsidP="00FD7D45">
      <w:pPr>
        <w:spacing w:before="60" w:after="120" w:line="360" w:lineRule="auto"/>
        <w:ind w:firstLine="720"/>
        <w:jc w:val="both"/>
        <w:rPr>
          <w:rFonts w:ascii="Calibri" w:hAnsi="Calibri" w:cs="Calibri"/>
          <w:sz w:val="24"/>
          <w:szCs w:val="24"/>
        </w:rPr>
      </w:pPr>
      <w:r w:rsidRPr="00C94884">
        <w:rPr>
          <w:rFonts w:ascii="Calibri" w:hAnsi="Calibri" w:cs="Calibri"/>
          <w:sz w:val="24"/>
          <w:szCs w:val="24"/>
        </w:rPr>
        <w:t xml:space="preserve">A DINTEG é responsável por consolidar os planos encaminhados pelas </w:t>
      </w:r>
      <w:proofErr w:type="spellStart"/>
      <w:r w:rsidRPr="00C94884">
        <w:rPr>
          <w:rFonts w:ascii="Calibri" w:hAnsi="Calibri" w:cs="Calibri"/>
          <w:sz w:val="24"/>
          <w:szCs w:val="24"/>
        </w:rPr>
        <w:t>UGRI’s</w:t>
      </w:r>
      <w:proofErr w:type="spellEnd"/>
      <w:r w:rsidRPr="00C94884">
        <w:rPr>
          <w:rFonts w:ascii="Calibri" w:hAnsi="Calibri" w:cs="Calibri"/>
          <w:sz w:val="24"/>
          <w:szCs w:val="24"/>
        </w:rPr>
        <w:t xml:space="preserve">, podendo sugerir a reclassificação de prioridade, se for o caso, de forma fundamentada, e </w:t>
      </w:r>
      <w:r w:rsidR="00983CBF" w:rsidRPr="00C94884">
        <w:rPr>
          <w:rFonts w:ascii="Calibri" w:hAnsi="Calibri" w:cs="Calibri"/>
          <w:sz w:val="24"/>
          <w:szCs w:val="24"/>
        </w:rPr>
        <w:t>submeter à</w:t>
      </w:r>
      <w:r w:rsidRPr="00C94884">
        <w:rPr>
          <w:rFonts w:ascii="Calibri" w:hAnsi="Calibri" w:cs="Calibri"/>
          <w:sz w:val="24"/>
          <w:szCs w:val="24"/>
        </w:rPr>
        <w:t xml:space="preserve"> avaliação do CGR, para posterior aprovação do Plano de Gestão de Riscos do MS, pelo CIG.</w:t>
      </w:r>
    </w:p>
    <w:p w14:paraId="30E20138" w14:textId="277341C0" w:rsidR="00FD7D45" w:rsidRPr="00C94884" w:rsidRDefault="00FD7D45" w:rsidP="00FD7D45">
      <w:pPr>
        <w:spacing w:before="60" w:after="120" w:line="360" w:lineRule="auto"/>
        <w:ind w:firstLine="708"/>
        <w:jc w:val="both"/>
        <w:rPr>
          <w:rFonts w:ascii="Calibri" w:hAnsi="Calibri" w:cs="Calibri"/>
          <w:sz w:val="24"/>
          <w:szCs w:val="24"/>
        </w:rPr>
      </w:pPr>
      <w:r w:rsidRPr="00C94884">
        <w:rPr>
          <w:rFonts w:ascii="Calibri" w:hAnsi="Calibri" w:cs="Calibri"/>
          <w:sz w:val="24"/>
          <w:szCs w:val="24"/>
        </w:rPr>
        <w:t xml:space="preserve">O Plano de Gestão de Riscos aprovado deverá ser executado pelas Unidades, para o gerenciamento dos riscos dos processos sob a sua </w:t>
      </w:r>
      <w:r w:rsidR="00983CBF" w:rsidRPr="00C94884">
        <w:rPr>
          <w:rFonts w:ascii="Calibri" w:hAnsi="Calibri" w:cs="Calibri"/>
          <w:sz w:val="24"/>
          <w:szCs w:val="24"/>
        </w:rPr>
        <w:t>responsabilidade, cujo</w:t>
      </w:r>
      <w:r w:rsidRPr="00C94884">
        <w:rPr>
          <w:rFonts w:ascii="Calibri" w:hAnsi="Calibri" w:cs="Calibri"/>
          <w:sz w:val="24"/>
          <w:szCs w:val="24"/>
        </w:rPr>
        <w:t xml:space="preserve"> monitoramento é realizado pelo Gestor de Processos, pela UGRI e de forma segregada pela DINTEG, conforme suas competências. </w:t>
      </w:r>
    </w:p>
    <w:p w14:paraId="69557FFB" w14:textId="01163E90" w:rsidR="00FD7D45" w:rsidRDefault="00FD7D45" w:rsidP="00FD7D45">
      <w:pPr>
        <w:spacing w:before="60" w:after="120" w:line="360" w:lineRule="auto"/>
        <w:ind w:firstLine="708"/>
        <w:jc w:val="both"/>
        <w:rPr>
          <w:rFonts w:ascii="Calibri" w:hAnsi="Calibri" w:cs="Calibri"/>
          <w:sz w:val="24"/>
          <w:szCs w:val="24"/>
        </w:rPr>
      </w:pPr>
      <w:r w:rsidRPr="00C94884">
        <w:rPr>
          <w:rFonts w:ascii="Calibri" w:hAnsi="Calibri" w:cs="Calibri"/>
          <w:sz w:val="24"/>
          <w:szCs w:val="24"/>
        </w:rPr>
        <w:t>A DINTEG fará a consolidação e reporte, às instâncias apropriadas, do resultado do processo de gerenciamento de riscos, no Ministério da Saúde.</w:t>
      </w:r>
    </w:p>
    <w:p w14:paraId="4D6AC4F2" w14:textId="77777777" w:rsidR="00CF0135" w:rsidRPr="00C94884" w:rsidRDefault="00CF0135" w:rsidP="00FD7D45">
      <w:pPr>
        <w:spacing w:before="60" w:after="120" w:line="360" w:lineRule="auto"/>
        <w:ind w:firstLine="708"/>
        <w:jc w:val="both"/>
        <w:rPr>
          <w:rFonts w:ascii="Calibri" w:hAnsi="Calibri" w:cs="Calibri"/>
          <w:sz w:val="24"/>
          <w:szCs w:val="24"/>
        </w:rPr>
      </w:pPr>
    </w:p>
    <w:p w14:paraId="12D5F178" w14:textId="77777777" w:rsidR="00FD7D45" w:rsidRPr="00C94884" w:rsidRDefault="00FD7D45" w:rsidP="00586858">
      <w:pPr>
        <w:pStyle w:val="Ttulo1"/>
        <w:numPr>
          <w:ilvl w:val="0"/>
          <w:numId w:val="4"/>
        </w:numPr>
        <w:spacing w:before="120" w:after="120"/>
        <w:rPr>
          <w:rFonts w:ascii="Calibri" w:hAnsi="Calibri" w:cs="Calibri"/>
          <w:b/>
          <w:bCs/>
          <w:sz w:val="26"/>
          <w:szCs w:val="26"/>
        </w:rPr>
      </w:pPr>
      <w:bookmarkStart w:id="17" w:name="_Toc74468863"/>
      <w:r w:rsidRPr="00C94884">
        <w:rPr>
          <w:rFonts w:ascii="Calibri" w:hAnsi="Calibri" w:cs="Calibri"/>
          <w:b/>
          <w:bCs/>
          <w:sz w:val="26"/>
          <w:szCs w:val="26"/>
        </w:rPr>
        <w:t>PROCESSO DE GERENCIAMENTO DE RISCOS</w:t>
      </w:r>
      <w:bookmarkEnd w:id="17"/>
    </w:p>
    <w:p w14:paraId="349D41EA" w14:textId="77777777" w:rsidR="00FD7D45" w:rsidRPr="00C94884" w:rsidRDefault="00FD7D45" w:rsidP="00FD7D45">
      <w:pPr>
        <w:spacing w:before="78"/>
        <w:rPr>
          <w:rFonts w:ascii="Calibri" w:hAnsi="Calibri" w:cs="Calibri"/>
          <w:color w:val="2D74B5"/>
          <w:sz w:val="24"/>
          <w:szCs w:val="24"/>
        </w:rPr>
      </w:pPr>
    </w:p>
    <w:p w14:paraId="0FF68620" w14:textId="5FC7D616" w:rsidR="00FD7D45" w:rsidRPr="00C94884" w:rsidRDefault="00FD7D45" w:rsidP="00FD7D45">
      <w:pPr>
        <w:spacing w:before="60" w:after="120" w:line="360" w:lineRule="auto"/>
        <w:ind w:firstLine="720"/>
        <w:jc w:val="both"/>
        <w:rPr>
          <w:rFonts w:ascii="Calibri" w:hAnsi="Calibri" w:cs="Calibri"/>
          <w:sz w:val="24"/>
          <w:szCs w:val="24"/>
        </w:rPr>
      </w:pPr>
      <w:r w:rsidRPr="00C94884">
        <w:rPr>
          <w:rFonts w:ascii="Calibri" w:hAnsi="Calibri" w:cs="Calibri"/>
          <w:sz w:val="24"/>
          <w:szCs w:val="24"/>
        </w:rPr>
        <w:t xml:space="preserve">O processo elaborado para o gerenciamento de riscos no Ministério da Saúde considera as orientações da Política de Gestão de Riscos do MS, dos </w:t>
      </w:r>
      <w:r w:rsidRPr="00C94884">
        <w:rPr>
          <w:rFonts w:ascii="Calibri" w:hAnsi="Calibri" w:cs="Calibri"/>
          <w:i/>
          <w:iCs/>
          <w:sz w:val="24"/>
          <w:szCs w:val="24"/>
        </w:rPr>
        <w:t>frameworks</w:t>
      </w:r>
      <w:r w:rsidRPr="00C94884">
        <w:rPr>
          <w:rFonts w:ascii="Calibri" w:hAnsi="Calibri" w:cs="Calibri"/>
          <w:sz w:val="24"/>
          <w:szCs w:val="24"/>
        </w:rPr>
        <w:t xml:space="preserve"> disponíveis, em especial a Norma ABNT NBR ISO 31000:2018 e o COSO ERM 2017, além de boas </w:t>
      </w:r>
      <w:r w:rsidR="00735F1D" w:rsidRPr="00C94884">
        <w:rPr>
          <w:rFonts w:ascii="Calibri" w:hAnsi="Calibri" w:cs="Calibri"/>
          <w:sz w:val="24"/>
          <w:szCs w:val="24"/>
        </w:rPr>
        <w:t>práticas</w:t>
      </w:r>
      <w:r w:rsidRPr="00C94884">
        <w:rPr>
          <w:rFonts w:ascii="Calibri" w:hAnsi="Calibri" w:cs="Calibri"/>
          <w:sz w:val="24"/>
          <w:szCs w:val="24"/>
        </w:rPr>
        <w:t xml:space="preserve"> aplicáveis à administração pública.</w:t>
      </w:r>
    </w:p>
    <w:p w14:paraId="7F84447A" w14:textId="77777777" w:rsidR="00FD7D45" w:rsidRPr="00C94884" w:rsidRDefault="00FD7D45" w:rsidP="00FD7D45">
      <w:pPr>
        <w:spacing w:before="60" w:after="120" w:line="360" w:lineRule="auto"/>
        <w:ind w:firstLine="720"/>
        <w:jc w:val="both"/>
        <w:rPr>
          <w:rFonts w:ascii="Calibri" w:hAnsi="Calibri" w:cs="Calibri"/>
          <w:sz w:val="24"/>
          <w:szCs w:val="24"/>
        </w:rPr>
      </w:pPr>
      <w:r w:rsidRPr="00C94884">
        <w:rPr>
          <w:rFonts w:ascii="Calibri" w:hAnsi="Calibri" w:cs="Calibri"/>
          <w:sz w:val="24"/>
          <w:szCs w:val="24"/>
        </w:rPr>
        <w:t xml:space="preserve">A adoção de um método para nortear o gerenciamento de </w:t>
      </w:r>
      <w:r w:rsidRPr="00C94884">
        <w:rPr>
          <w:rFonts w:ascii="Calibri" w:hAnsi="Calibri" w:cs="Calibri"/>
          <w:sz w:val="24"/>
          <w:szCs w:val="24"/>
          <w:u w:val="single"/>
        </w:rPr>
        <w:t>r</w:t>
      </w:r>
      <w:r w:rsidRPr="00C94884">
        <w:rPr>
          <w:rFonts w:ascii="Calibri" w:hAnsi="Calibri" w:cs="Calibri"/>
          <w:sz w:val="24"/>
          <w:szCs w:val="24"/>
        </w:rPr>
        <w:t>iscos é de extrema importância e contribuirá para a padronização do processo.  Dessa forma, esta metodologia orientará a sistematização das etapas do gerenciamento de riscos, compreendendo o entendimento do contexto, a avaliação dos riscos (identificação, análise e avaliação), as respostas aos riscos, o monitoramento e análise crítica, o registro e relato, cuja operacionalização contará com guia específico.</w:t>
      </w:r>
    </w:p>
    <w:p w14:paraId="1043E7C5" w14:textId="77777777" w:rsidR="00FD7D45" w:rsidRPr="00C94884" w:rsidRDefault="00FD7D45" w:rsidP="00FD7D45">
      <w:pPr>
        <w:spacing w:before="60" w:after="120" w:line="360" w:lineRule="auto"/>
        <w:ind w:firstLine="720"/>
        <w:jc w:val="both"/>
        <w:rPr>
          <w:rFonts w:ascii="Calibri" w:hAnsi="Calibri" w:cs="Calibri"/>
          <w:sz w:val="24"/>
          <w:szCs w:val="24"/>
        </w:rPr>
      </w:pPr>
      <w:r w:rsidRPr="00C94884">
        <w:rPr>
          <w:rFonts w:ascii="Calibri" w:hAnsi="Calibri" w:cs="Calibri"/>
          <w:sz w:val="24"/>
          <w:szCs w:val="24"/>
        </w:rPr>
        <w:t xml:space="preserve">Esta Metodologia e o Guia para a sua operacionalização deverão ser aplicados pelos gestores de processos, com o apoio e assessoramento das </w:t>
      </w:r>
      <w:proofErr w:type="spellStart"/>
      <w:r w:rsidRPr="00C94884">
        <w:rPr>
          <w:rFonts w:ascii="Calibri" w:hAnsi="Calibri" w:cs="Calibri"/>
          <w:sz w:val="24"/>
          <w:szCs w:val="24"/>
        </w:rPr>
        <w:t>UGRI’s</w:t>
      </w:r>
      <w:proofErr w:type="spellEnd"/>
      <w:r w:rsidRPr="00C94884">
        <w:rPr>
          <w:rFonts w:ascii="Calibri" w:hAnsi="Calibri" w:cs="Calibri"/>
          <w:sz w:val="24"/>
          <w:szCs w:val="24"/>
        </w:rPr>
        <w:t xml:space="preserve"> para a execução do gerenciamento de riscos dos processos constantes do Plano de Gestão de Riscos de cada Unidade. </w:t>
      </w:r>
    </w:p>
    <w:p w14:paraId="181F3654" w14:textId="77777777" w:rsidR="00FD7D45" w:rsidRPr="00C94884" w:rsidRDefault="00FD7D45" w:rsidP="00FD7D45">
      <w:pPr>
        <w:spacing w:before="60" w:after="120" w:line="360" w:lineRule="auto"/>
        <w:ind w:firstLine="720"/>
        <w:jc w:val="both"/>
        <w:rPr>
          <w:rFonts w:ascii="Calibri" w:hAnsi="Calibri" w:cs="Calibri"/>
          <w:sz w:val="24"/>
          <w:szCs w:val="24"/>
        </w:rPr>
      </w:pPr>
      <w:r w:rsidRPr="00C94884">
        <w:rPr>
          <w:rFonts w:ascii="Calibri" w:hAnsi="Calibri" w:cs="Calibri"/>
          <w:sz w:val="24"/>
          <w:szCs w:val="24"/>
        </w:rPr>
        <w:t>Ressalta-se que os processos priorizados para o gerenciamento de riscos deverão ser mapeados prioritariamente pelos seus gestores.</w:t>
      </w:r>
    </w:p>
    <w:p w14:paraId="0073EC1E" w14:textId="77777777" w:rsidR="00FD7D45" w:rsidRPr="00C94884" w:rsidRDefault="00FD7D45" w:rsidP="00FD7D45">
      <w:pPr>
        <w:spacing w:before="60" w:after="120" w:line="360" w:lineRule="auto"/>
        <w:ind w:firstLine="720"/>
        <w:jc w:val="both"/>
        <w:rPr>
          <w:rFonts w:ascii="Calibri" w:hAnsi="Calibri" w:cs="Calibri"/>
          <w:sz w:val="24"/>
          <w:szCs w:val="24"/>
        </w:rPr>
      </w:pPr>
      <w:r w:rsidRPr="00C94884">
        <w:rPr>
          <w:rFonts w:ascii="Calibri" w:hAnsi="Calibri" w:cs="Calibri"/>
          <w:sz w:val="24"/>
          <w:szCs w:val="24"/>
        </w:rPr>
        <w:t>O processo de gerenciamento de riscos será realizado em cinco grandes etapas, conforme a seguir:</w:t>
      </w:r>
    </w:p>
    <w:p w14:paraId="1D60477E" w14:textId="294F5218" w:rsidR="009643F2" w:rsidRPr="00C94884" w:rsidRDefault="009978DC" w:rsidP="00FD7D45">
      <w:pPr>
        <w:spacing w:before="60" w:after="120" w:line="360" w:lineRule="auto"/>
        <w:jc w:val="center"/>
        <w:rPr>
          <w:rFonts w:ascii="Calibri" w:hAnsi="Calibri" w:cs="Calibri"/>
          <w:noProof/>
          <w:sz w:val="24"/>
          <w:szCs w:val="24"/>
        </w:rPr>
      </w:pPr>
      <w:r w:rsidRPr="009978DC">
        <w:rPr>
          <w:rFonts w:ascii="Calibri" w:hAnsi="Calibri" w:cs="Calibri"/>
          <w:noProof/>
          <w:sz w:val="24"/>
          <w:szCs w:val="24"/>
        </w:rPr>
        <w:t xml:space="preserve">Figura </w:t>
      </w:r>
      <w:r>
        <w:rPr>
          <w:rFonts w:ascii="Calibri" w:hAnsi="Calibri" w:cs="Calibri"/>
          <w:noProof/>
          <w:sz w:val="24"/>
          <w:szCs w:val="24"/>
        </w:rPr>
        <w:t>4</w:t>
      </w:r>
      <w:r w:rsidRPr="009978DC">
        <w:rPr>
          <w:rFonts w:ascii="Calibri" w:hAnsi="Calibri" w:cs="Calibri"/>
          <w:noProof/>
          <w:sz w:val="24"/>
          <w:szCs w:val="24"/>
        </w:rPr>
        <w:t xml:space="preserve"> – Etapas do Gerenciamento de Riscos</w:t>
      </w:r>
    </w:p>
    <w:p w14:paraId="45B89184" w14:textId="112A4FC9" w:rsidR="009643F2" w:rsidRDefault="009643F2" w:rsidP="00FD7D45">
      <w:pPr>
        <w:spacing w:before="60" w:after="120" w:line="360" w:lineRule="auto"/>
        <w:jc w:val="center"/>
        <w:rPr>
          <w:noProof/>
        </w:rPr>
      </w:pPr>
      <w:r w:rsidRPr="009643F2">
        <w:rPr>
          <w:noProof/>
        </w:rPr>
        <w:drawing>
          <wp:inline distT="0" distB="0" distL="0" distR="0" wp14:anchorId="1296CA75" wp14:editId="6019EFBD">
            <wp:extent cx="5759450" cy="3111500"/>
            <wp:effectExtent l="0" t="0" r="0"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111500"/>
                    </a:xfrm>
                    <a:prstGeom prst="rect">
                      <a:avLst/>
                    </a:prstGeom>
                    <a:noFill/>
                    <a:ln>
                      <a:noFill/>
                    </a:ln>
                  </pic:spPr>
                </pic:pic>
              </a:graphicData>
            </a:graphic>
          </wp:inline>
        </w:drawing>
      </w:r>
    </w:p>
    <w:p w14:paraId="396E7A41" w14:textId="77777777" w:rsidR="00FD7D45" w:rsidRDefault="00FD7D45" w:rsidP="00FD7D45">
      <w:pPr>
        <w:pStyle w:val="Corpodetexto"/>
        <w:spacing w:before="8"/>
        <w:rPr>
          <w:sz w:val="20"/>
        </w:rPr>
      </w:pPr>
    </w:p>
    <w:p w14:paraId="5E54D871" w14:textId="307D1105" w:rsidR="00FD7D45" w:rsidRPr="0076068B" w:rsidRDefault="00FD7D45" w:rsidP="00586858">
      <w:pPr>
        <w:pStyle w:val="Ttulo1"/>
        <w:numPr>
          <w:ilvl w:val="1"/>
          <w:numId w:val="4"/>
        </w:numPr>
        <w:spacing w:before="120" w:after="120"/>
        <w:rPr>
          <w:rFonts w:asciiTheme="minorHAnsi" w:hAnsiTheme="minorHAnsi" w:cstheme="minorHAnsi"/>
          <w:sz w:val="26"/>
          <w:szCs w:val="26"/>
        </w:rPr>
      </w:pPr>
      <w:bookmarkStart w:id="18" w:name="_Toc74468864"/>
      <w:r w:rsidRPr="0076068B">
        <w:rPr>
          <w:rFonts w:asciiTheme="minorHAnsi" w:hAnsiTheme="minorHAnsi" w:cstheme="minorHAnsi"/>
          <w:sz w:val="26"/>
          <w:szCs w:val="26"/>
        </w:rPr>
        <w:t>Entendimento do Contexto</w:t>
      </w:r>
      <w:bookmarkEnd w:id="18"/>
    </w:p>
    <w:p w14:paraId="780061A1" w14:textId="77777777" w:rsidR="00FD7D45" w:rsidRDefault="00FD7D45" w:rsidP="00FD7D45">
      <w:pPr>
        <w:pStyle w:val="Ttulo1"/>
        <w:spacing w:before="120" w:after="120"/>
        <w:ind w:left="390"/>
        <w:rPr>
          <w:sz w:val="26"/>
          <w:szCs w:val="26"/>
        </w:rPr>
      </w:pPr>
    </w:p>
    <w:p w14:paraId="41AE63FC" w14:textId="77777777" w:rsidR="00FD7D45" w:rsidRPr="00136CA2" w:rsidRDefault="00FD7D45" w:rsidP="00FD7D45">
      <w:pPr>
        <w:spacing w:before="60" w:after="120" w:line="360" w:lineRule="auto"/>
        <w:ind w:firstLine="720"/>
        <w:jc w:val="both"/>
        <w:rPr>
          <w:rFonts w:cstheme="minorHAnsi"/>
          <w:sz w:val="24"/>
          <w:szCs w:val="24"/>
        </w:rPr>
      </w:pPr>
      <w:r w:rsidRPr="00136CA2">
        <w:rPr>
          <w:rFonts w:cstheme="minorHAnsi"/>
          <w:sz w:val="24"/>
          <w:szCs w:val="24"/>
        </w:rPr>
        <w:t xml:space="preserve">Consiste em compreender o ambiente interno e externo no qual os processos objeto do gerenciamento de riscos encontram-se inseridos. Nesta etapa devem ser obtidas pelo menos as seguintes informações: </w:t>
      </w:r>
    </w:p>
    <w:p w14:paraId="5A3E962F"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Mapeamento do processo (fluxogramação e descrição, detalhando as principais e grandes etapas do processo e os intervenientes – partes relacionadas);</w:t>
      </w:r>
    </w:p>
    <w:p w14:paraId="2E146889"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Objetivos gerais e específicos ou resultados a serem alcançados, descrição que permita a identificação dos riscos que possam impactar o cumprimento desses objetivos;</w:t>
      </w:r>
    </w:p>
    <w:p w14:paraId="5FFB12FB"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Leis, regulamentos e normas aplicáveis para permitir a verificação de conformidade e auxiliar na adoção de ações de controle;</w:t>
      </w:r>
    </w:p>
    <w:p w14:paraId="3E13FE67"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Políticas, objetivos, diretrizes e estratégias;</w:t>
      </w:r>
    </w:p>
    <w:p w14:paraId="20137961"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Unidade, gestor responsál pelo processo que possue a competência principal pela sua execução e pelo gerenciamento dos seus riscos (dono do risco); e</w:t>
      </w:r>
    </w:p>
    <w:p w14:paraId="26244E6A"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Sistemas utilizados na operacionalização e documentação do processo de gerenciamento de riscos.</w:t>
      </w:r>
    </w:p>
    <w:p w14:paraId="59E0F99F" w14:textId="77777777" w:rsidR="00FD7D45" w:rsidRPr="00136CA2" w:rsidRDefault="00FD7D45" w:rsidP="00586858">
      <w:pPr>
        <w:pStyle w:val="PargrafodaLista"/>
        <w:numPr>
          <w:ilvl w:val="0"/>
          <w:numId w:val="5"/>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Cenários considerando oportunidades e ameaças, bem como forças e fraquezas.</w:t>
      </w:r>
    </w:p>
    <w:p w14:paraId="26D51CAF" w14:textId="77777777" w:rsidR="00FD7D45" w:rsidRPr="00136CA2" w:rsidRDefault="00FD7D45" w:rsidP="00FD7D45">
      <w:pPr>
        <w:spacing w:before="60" w:after="120" w:line="360" w:lineRule="auto"/>
        <w:ind w:firstLine="720"/>
        <w:jc w:val="both"/>
        <w:rPr>
          <w:rFonts w:cstheme="minorHAnsi"/>
          <w:sz w:val="24"/>
          <w:szCs w:val="24"/>
        </w:rPr>
      </w:pPr>
      <w:r w:rsidRPr="00136CA2">
        <w:rPr>
          <w:rFonts w:cstheme="minorHAnsi"/>
          <w:sz w:val="24"/>
          <w:szCs w:val="24"/>
        </w:rPr>
        <w:t xml:space="preserve"> Recomenda-se a utilização de ferramentas de extração de dados e informações, que possam ser aplicadas dentro do tempo e espaço, a exemplo da Matriz SWOT.</w:t>
      </w:r>
    </w:p>
    <w:p w14:paraId="58BA29D5" w14:textId="77777777" w:rsidR="00FD7D45" w:rsidRDefault="00FD7D45" w:rsidP="00FD7D45">
      <w:pPr>
        <w:spacing w:before="60" w:after="120" w:line="360" w:lineRule="auto"/>
        <w:ind w:firstLine="720"/>
        <w:jc w:val="both"/>
        <w:rPr>
          <w:sz w:val="24"/>
          <w:szCs w:val="24"/>
        </w:rPr>
      </w:pPr>
    </w:p>
    <w:p w14:paraId="78E3BC6C" w14:textId="4A465DC0" w:rsidR="00FD7D45" w:rsidRPr="00143388" w:rsidRDefault="00FD7D45" w:rsidP="00586858">
      <w:pPr>
        <w:pStyle w:val="Ttulo1"/>
        <w:numPr>
          <w:ilvl w:val="1"/>
          <w:numId w:val="4"/>
        </w:numPr>
        <w:spacing w:before="120" w:after="120"/>
        <w:rPr>
          <w:rFonts w:asciiTheme="minorHAnsi" w:hAnsiTheme="minorHAnsi" w:cstheme="minorHAnsi"/>
          <w:sz w:val="26"/>
          <w:szCs w:val="26"/>
        </w:rPr>
      </w:pPr>
      <w:bookmarkStart w:id="19" w:name="_Toc74468865"/>
      <w:r w:rsidRPr="00143388">
        <w:rPr>
          <w:rFonts w:asciiTheme="minorHAnsi" w:hAnsiTheme="minorHAnsi" w:cstheme="minorHAnsi"/>
          <w:sz w:val="26"/>
          <w:szCs w:val="26"/>
        </w:rPr>
        <w:t>Identificação, Análise e Avaliação dos Riscos</w:t>
      </w:r>
      <w:bookmarkEnd w:id="19"/>
    </w:p>
    <w:p w14:paraId="53C07897" w14:textId="77777777" w:rsidR="00FD7D45" w:rsidRDefault="00FD7D45" w:rsidP="00FD7D45">
      <w:pPr>
        <w:spacing w:before="60" w:after="120" w:line="360" w:lineRule="auto"/>
        <w:ind w:firstLine="720"/>
        <w:jc w:val="both"/>
        <w:rPr>
          <w:sz w:val="24"/>
          <w:szCs w:val="24"/>
        </w:rPr>
      </w:pPr>
    </w:p>
    <w:p w14:paraId="19DF0E5A" w14:textId="719FD79C" w:rsidR="00FD7D45" w:rsidRPr="00136CA2" w:rsidRDefault="00CF0135" w:rsidP="00FD7D45">
      <w:pPr>
        <w:spacing w:before="60" w:after="120" w:line="360" w:lineRule="auto"/>
        <w:ind w:firstLine="720"/>
        <w:jc w:val="both"/>
        <w:rPr>
          <w:rFonts w:ascii="Calibri" w:hAnsi="Calibri" w:cs="Calibri"/>
          <w:sz w:val="24"/>
          <w:szCs w:val="24"/>
        </w:rPr>
      </w:pPr>
      <w:r>
        <w:rPr>
          <w:rFonts w:ascii="Calibri" w:hAnsi="Calibri" w:cs="Calibri"/>
          <w:sz w:val="24"/>
          <w:szCs w:val="24"/>
        </w:rPr>
        <w:t>A i</w:t>
      </w:r>
      <w:r w:rsidR="00FD7D45" w:rsidRPr="00136CA2">
        <w:rPr>
          <w:rFonts w:ascii="Calibri" w:hAnsi="Calibri" w:cs="Calibri"/>
          <w:sz w:val="24"/>
          <w:szCs w:val="24"/>
        </w:rPr>
        <w:t xml:space="preserve">dentificação compreende </w:t>
      </w:r>
      <w:proofErr w:type="gramStart"/>
      <w:r w:rsidR="00FD7D45" w:rsidRPr="00136CA2">
        <w:rPr>
          <w:rFonts w:ascii="Calibri" w:hAnsi="Calibri" w:cs="Calibri"/>
          <w:sz w:val="24"/>
          <w:szCs w:val="24"/>
        </w:rPr>
        <w:t>levantar</w:t>
      </w:r>
      <w:proofErr w:type="gramEnd"/>
      <w:r w:rsidR="00FD7D45" w:rsidRPr="00136CA2">
        <w:rPr>
          <w:rFonts w:ascii="Calibri" w:hAnsi="Calibri" w:cs="Calibri"/>
          <w:sz w:val="24"/>
          <w:szCs w:val="24"/>
        </w:rPr>
        <w:t xml:space="preserve">, reconhecer e descrever os riscos que podem impedir o alcance dos objetivos do processo que está tendo os seus riscos mapeados para serem gerenciados. A análise dos riscos considera incertezas, causas (fontes ou origem do risco) e consequências/impactos. Um risco pode ter </w:t>
      </w:r>
      <w:r w:rsidR="00685C05" w:rsidRPr="00136CA2">
        <w:rPr>
          <w:rFonts w:ascii="Calibri" w:hAnsi="Calibri" w:cs="Calibri"/>
          <w:sz w:val="24"/>
          <w:szCs w:val="24"/>
        </w:rPr>
        <w:t>múltiplas causas e consequências,</w:t>
      </w:r>
      <w:r w:rsidR="00FD7D45" w:rsidRPr="00136CA2">
        <w:rPr>
          <w:rFonts w:ascii="Calibri" w:hAnsi="Calibri" w:cs="Calibri"/>
          <w:sz w:val="24"/>
          <w:szCs w:val="24"/>
        </w:rPr>
        <w:t xml:space="preserve"> ou seja, elementos que, individualmente ou combinados, têm o potencial intrínseco de dar origem ao risco e </w:t>
      </w:r>
      <w:r w:rsidR="00685C05" w:rsidRPr="00136CA2">
        <w:rPr>
          <w:rFonts w:ascii="Calibri" w:hAnsi="Calibri" w:cs="Calibri"/>
          <w:sz w:val="24"/>
          <w:szCs w:val="24"/>
        </w:rPr>
        <w:t>as possíveis</w:t>
      </w:r>
      <w:r w:rsidR="00FD7D45" w:rsidRPr="00136CA2">
        <w:rPr>
          <w:rFonts w:ascii="Calibri" w:hAnsi="Calibri" w:cs="Calibri"/>
          <w:sz w:val="24"/>
          <w:szCs w:val="24"/>
        </w:rPr>
        <w:t xml:space="preserve"> </w:t>
      </w:r>
      <w:r w:rsidR="00685C05" w:rsidRPr="00136CA2">
        <w:rPr>
          <w:rFonts w:ascii="Calibri" w:hAnsi="Calibri" w:cs="Calibri"/>
          <w:sz w:val="24"/>
          <w:szCs w:val="24"/>
        </w:rPr>
        <w:t>consequências</w:t>
      </w:r>
      <w:r w:rsidR="00FD7D45" w:rsidRPr="00136CA2">
        <w:rPr>
          <w:rFonts w:ascii="Calibri" w:hAnsi="Calibri" w:cs="Calibri"/>
          <w:sz w:val="24"/>
          <w:szCs w:val="24"/>
        </w:rPr>
        <w:t xml:space="preserve"> (efeitos/impacto), caso o evento se materialize.</w:t>
      </w:r>
    </w:p>
    <w:p w14:paraId="1D364FD7" w14:textId="25270B04" w:rsidR="00FD7D45" w:rsidRPr="00136CA2" w:rsidRDefault="00FD7D45" w:rsidP="00FD7D45">
      <w:pPr>
        <w:spacing w:before="60" w:after="120" w:line="360" w:lineRule="auto"/>
        <w:ind w:firstLine="720"/>
        <w:jc w:val="both"/>
        <w:rPr>
          <w:rFonts w:ascii="Calibri" w:hAnsi="Calibri" w:cs="Calibri"/>
          <w:sz w:val="24"/>
          <w:szCs w:val="24"/>
        </w:rPr>
      </w:pPr>
      <w:r w:rsidRPr="00136CA2">
        <w:rPr>
          <w:rFonts w:ascii="Calibri" w:hAnsi="Calibri" w:cs="Calibri"/>
          <w:sz w:val="24"/>
          <w:szCs w:val="24"/>
        </w:rPr>
        <w:t>Devem ser utilizadas técnicas</w:t>
      </w:r>
      <w:r w:rsidR="00A26CF1">
        <w:rPr>
          <w:rFonts w:ascii="Calibri" w:hAnsi="Calibri" w:cs="Calibri"/>
          <w:sz w:val="24"/>
          <w:szCs w:val="24"/>
        </w:rPr>
        <w:t xml:space="preserve"> e </w:t>
      </w:r>
      <w:r w:rsidR="00685C05" w:rsidRPr="00136CA2">
        <w:rPr>
          <w:rFonts w:ascii="Calibri" w:hAnsi="Calibri" w:cs="Calibri"/>
          <w:sz w:val="24"/>
          <w:szCs w:val="24"/>
        </w:rPr>
        <w:t>ferramentais</w:t>
      </w:r>
      <w:r w:rsidRPr="00136CA2">
        <w:rPr>
          <w:rFonts w:ascii="Calibri" w:hAnsi="Calibri" w:cs="Calibri"/>
          <w:sz w:val="24"/>
          <w:szCs w:val="24"/>
        </w:rPr>
        <w:t xml:space="preserve"> que permitam a identificação</w:t>
      </w:r>
      <w:r w:rsidR="00BB1018">
        <w:rPr>
          <w:rFonts w:ascii="Calibri" w:hAnsi="Calibri" w:cs="Calibri"/>
          <w:sz w:val="24"/>
          <w:szCs w:val="24"/>
        </w:rPr>
        <w:t xml:space="preserve"> e o </w:t>
      </w:r>
      <w:r w:rsidRPr="00136CA2">
        <w:rPr>
          <w:rFonts w:ascii="Calibri" w:hAnsi="Calibri" w:cs="Calibri"/>
          <w:sz w:val="24"/>
          <w:szCs w:val="24"/>
        </w:rPr>
        <w:t xml:space="preserve">reconhecimento do risco, tais como: questionários e </w:t>
      </w:r>
      <w:r w:rsidRPr="00136CA2">
        <w:rPr>
          <w:rFonts w:ascii="Calibri" w:hAnsi="Calibri" w:cs="Calibri"/>
          <w:i/>
          <w:iCs/>
          <w:sz w:val="24"/>
          <w:szCs w:val="24"/>
        </w:rPr>
        <w:t>checklist</w:t>
      </w:r>
      <w:r w:rsidRPr="00136CA2">
        <w:rPr>
          <w:rFonts w:ascii="Calibri" w:hAnsi="Calibri" w:cs="Calibri"/>
          <w:sz w:val="24"/>
          <w:szCs w:val="24"/>
        </w:rPr>
        <w:t xml:space="preserve">; </w:t>
      </w:r>
      <w:proofErr w:type="spellStart"/>
      <w:r w:rsidRPr="00136CA2">
        <w:rPr>
          <w:rFonts w:ascii="Calibri" w:hAnsi="Calibri" w:cs="Calibri"/>
          <w:i/>
          <w:iCs/>
          <w:sz w:val="24"/>
          <w:szCs w:val="24"/>
        </w:rPr>
        <w:t>whorkshop</w:t>
      </w:r>
      <w:proofErr w:type="spellEnd"/>
      <w:r w:rsidRPr="00136CA2">
        <w:rPr>
          <w:rFonts w:ascii="Calibri" w:hAnsi="Calibri" w:cs="Calibri"/>
          <w:sz w:val="24"/>
          <w:szCs w:val="24"/>
        </w:rPr>
        <w:t xml:space="preserve"> e reuniões (</w:t>
      </w:r>
      <w:r w:rsidRPr="00136CA2">
        <w:rPr>
          <w:rFonts w:ascii="Calibri" w:hAnsi="Calibri" w:cs="Calibri"/>
          <w:i/>
          <w:iCs/>
          <w:sz w:val="24"/>
          <w:szCs w:val="24"/>
        </w:rPr>
        <w:t>Brainstorming</w:t>
      </w:r>
      <w:r w:rsidRPr="00136CA2">
        <w:rPr>
          <w:rFonts w:ascii="Calibri" w:hAnsi="Calibri" w:cs="Calibri"/>
          <w:sz w:val="24"/>
          <w:szCs w:val="24"/>
        </w:rPr>
        <w:t>); Gravata-borboleta (</w:t>
      </w:r>
      <w:proofErr w:type="spellStart"/>
      <w:r w:rsidRPr="00136CA2">
        <w:rPr>
          <w:rFonts w:ascii="Calibri" w:hAnsi="Calibri" w:cs="Calibri"/>
          <w:i/>
          <w:iCs/>
          <w:sz w:val="24"/>
          <w:szCs w:val="24"/>
        </w:rPr>
        <w:t>Bow-tie</w:t>
      </w:r>
      <w:proofErr w:type="spellEnd"/>
      <w:r w:rsidRPr="00136CA2">
        <w:rPr>
          <w:rFonts w:ascii="Calibri" w:hAnsi="Calibri" w:cs="Calibri"/>
          <w:sz w:val="24"/>
          <w:szCs w:val="24"/>
        </w:rPr>
        <w:t xml:space="preserve">); entrevistas; etc. </w:t>
      </w:r>
    </w:p>
    <w:p w14:paraId="47A1A6F9" w14:textId="77777777" w:rsidR="00FD7D45" w:rsidRPr="00136CA2" w:rsidRDefault="00FD7D45" w:rsidP="00FD7D45">
      <w:pPr>
        <w:spacing w:before="60" w:after="120" w:line="360" w:lineRule="auto"/>
        <w:jc w:val="both"/>
        <w:rPr>
          <w:rFonts w:ascii="Calibri" w:hAnsi="Calibri" w:cs="Calibri"/>
          <w:sz w:val="24"/>
          <w:szCs w:val="24"/>
        </w:rPr>
      </w:pPr>
      <w:r w:rsidRPr="00136CA2">
        <w:rPr>
          <w:rFonts w:ascii="Calibri" w:hAnsi="Calibri" w:cs="Calibri"/>
          <w:sz w:val="24"/>
        </w:rPr>
        <w:tab/>
      </w:r>
      <w:r w:rsidRPr="00136CA2">
        <w:rPr>
          <w:rFonts w:ascii="Calibri" w:hAnsi="Calibri" w:cs="Calibri"/>
          <w:sz w:val="24"/>
          <w:szCs w:val="24"/>
        </w:rPr>
        <w:t xml:space="preserve">Os riscos identificados, reconhecidos e registrados devem ser revisados com vistas a serem reformulados, reorganizados de maneira que a sua descrição seja clara o suficiente para ser compreendido, categorizado e tratado.  </w:t>
      </w:r>
    </w:p>
    <w:p w14:paraId="1F8F7D52" w14:textId="35BABC7E" w:rsidR="00FD7D45" w:rsidRPr="00136CA2" w:rsidRDefault="00F47943" w:rsidP="00FD7D45">
      <w:pPr>
        <w:spacing w:before="60" w:after="120" w:line="360" w:lineRule="auto"/>
        <w:ind w:firstLine="720"/>
        <w:jc w:val="both"/>
        <w:rPr>
          <w:rFonts w:ascii="Calibri" w:hAnsi="Calibri" w:cs="Calibri"/>
          <w:sz w:val="24"/>
          <w:szCs w:val="24"/>
        </w:rPr>
      </w:pPr>
      <w:r>
        <w:rPr>
          <w:rFonts w:ascii="Calibri" w:hAnsi="Calibri" w:cs="Calibri"/>
          <w:sz w:val="24"/>
        </w:rPr>
        <w:t xml:space="preserve">Também </w:t>
      </w:r>
      <w:r w:rsidR="00FD7D45" w:rsidRPr="00136CA2">
        <w:rPr>
          <w:rFonts w:ascii="Calibri" w:hAnsi="Calibri" w:cs="Calibri"/>
          <w:sz w:val="24"/>
        </w:rPr>
        <w:t xml:space="preserve">devem ser avaliados sob a perspectiva de </w:t>
      </w:r>
      <w:r w:rsidR="00FD7D45" w:rsidRPr="00136CA2">
        <w:rPr>
          <w:rFonts w:ascii="Calibri" w:hAnsi="Calibri" w:cs="Calibri"/>
          <w:sz w:val="24"/>
          <w:szCs w:val="24"/>
        </w:rPr>
        <w:t xml:space="preserve">probabilidade e impacto, considerando as causas e as consequências levantadas. A </w:t>
      </w:r>
      <w:r w:rsidR="00685C05" w:rsidRPr="00136CA2">
        <w:rPr>
          <w:rFonts w:ascii="Calibri" w:hAnsi="Calibri" w:cs="Calibri"/>
          <w:sz w:val="24"/>
          <w:szCs w:val="24"/>
        </w:rPr>
        <w:t>matriz utilizada</w:t>
      </w:r>
      <w:r w:rsidR="00FD7D45" w:rsidRPr="00136CA2">
        <w:rPr>
          <w:rFonts w:ascii="Calibri" w:hAnsi="Calibri" w:cs="Calibri"/>
          <w:sz w:val="24"/>
          <w:szCs w:val="24"/>
        </w:rPr>
        <w:t xml:space="preserve"> considera uma escala de probabilidade e impacto (5x5) e está distribuída em quatro níveis de riscos, dimensionados em função do apetite a risco definido pelo Ministério da Saúde. </w:t>
      </w:r>
    </w:p>
    <w:p w14:paraId="77817794" w14:textId="7F524CFA" w:rsidR="00C27674" w:rsidRDefault="00FD7D45" w:rsidP="00C27674">
      <w:pPr>
        <w:spacing w:before="60" w:after="120" w:line="360" w:lineRule="auto"/>
        <w:ind w:firstLine="720"/>
        <w:jc w:val="both"/>
        <w:rPr>
          <w:rFonts w:ascii="Calibri" w:hAnsi="Calibri" w:cs="Calibri"/>
          <w:sz w:val="24"/>
          <w:szCs w:val="24"/>
        </w:rPr>
      </w:pPr>
      <w:r w:rsidRPr="00136CA2">
        <w:rPr>
          <w:rFonts w:ascii="Calibri" w:hAnsi="Calibri" w:cs="Calibri"/>
          <w:sz w:val="24"/>
          <w:szCs w:val="24"/>
        </w:rPr>
        <w:t>A seguir a matriz de probabilidade e impacto adotada:</w:t>
      </w:r>
    </w:p>
    <w:p w14:paraId="136014F9" w14:textId="6F79CA9B" w:rsidR="00C27674" w:rsidRPr="00136CA2" w:rsidRDefault="00C27674" w:rsidP="00C27674">
      <w:pPr>
        <w:spacing w:before="60" w:after="120" w:line="360" w:lineRule="auto"/>
        <w:jc w:val="center"/>
        <w:rPr>
          <w:rFonts w:ascii="Calibri" w:hAnsi="Calibri" w:cs="Calibri"/>
          <w:sz w:val="24"/>
          <w:szCs w:val="24"/>
        </w:rPr>
      </w:pPr>
      <w:r w:rsidRPr="00C27674">
        <w:rPr>
          <w:rFonts w:ascii="Calibri" w:hAnsi="Calibri" w:cs="Calibri"/>
          <w:sz w:val="24"/>
          <w:szCs w:val="24"/>
        </w:rPr>
        <w:t xml:space="preserve">Figura </w:t>
      </w:r>
      <w:r>
        <w:rPr>
          <w:rFonts w:ascii="Calibri" w:hAnsi="Calibri" w:cs="Calibri"/>
          <w:sz w:val="24"/>
          <w:szCs w:val="24"/>
        </w:rPr>
        <w:t xml:space="preserve">5 </w:t>
      </w:r>
      <w:r w:rsidRPr="00C27674">
        <w:rPr>
          <w:rFonts w:ascii="Calibri" w:hAnsi="Calibri" w:cs="Calibri"/>
          <w:sz w:val="24"/>
          <w:szCs w:val="24"/>
        </w:rPr>
        <w:t>– Matriz Impacto x Probabilidade</w:t>
      </w:r>
    </w:p>
    <w:p w14:paraId="226BD339" w14:textId="352F5DD1" w:rsidR="00FD7D45" w:rsidRDefault="00454BF8" w:rsidP="00FD7D45">
      <w:pPr>
        <w:spacing w:before="60" w:after="120" w:line="360" w:lineRule="auto"/>
        <w:jc w:val="both"/>
        <w:rPr>
          <w:sz w:val="24"/>
          <w:szCs w:val="24"/>
        </w:rPr>
      </w:pPr>
      <w:r w:rsidRPr="00454BF8">
        <w:rPr>
          <w:noProof/>
          <w:sz w:val="24"/>
          <w:szCs w:val="24"/>
        </w:rPr>
        <w:drawing>
          <wp:inline distT="0" distB="0" distL="0" distR="0" wp14:anchorId="36F70D63" wp14:editId="43B1AF95">
            <wp:extent cx="5708650" cy="2977239"/>
            <wp:effectExtent l="0" t="0" r="635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6959" cy="2981573"/>
                    </a:xfrm>
                    <a:prstGeom prst="rect">
                      <a:avLst/>
                    </a:prstGeom>
                    <a:noFill/>
                    <a:ln>
                      <a:noFill/>
                    </a:ln>
                  </pic:spPr>
                </pic:pic>
              </a:graphicData>
            </a:graphic>
          </wp:inline>
        </w:drawing>
      </w:r>
    </w:p>
    <w:p w14:paraId="29747678" w14:textId="77777777" w:rsidR="00FD7D45" w:rsidRPr="00136CA2" w:rsidRDefault="00FD7D45" w:rsidP="00FD7D45">
      <w:pPr>
        <w:spacing w:before="60" w:after="120" w:line="360" w:lineRule="auto"/>
        <w:jc w:val="both"/>
        <w:rPr>
          <w:rFonts w:cstheme="minorHAnsi"/>
          <w:sz w:val="24"/>
          <w:szCs w:val="24"/>
        </w:rPr>
      </w:pPr>
      <w:r w:rsidRPr="00136CA2">
        <w:rPr>
          <w:rFonts w:cstheme="minorHAnsi"/>
          <w:sz w:val="24"/>
          <w:szCs w:val="24"/>
        </w:rPr>
        <w:t>Escala de Probabilidade:</w:t>
      </w:r>
    </w:p>
    <w:p w14:paraId="73F1A618" w14:textId="0C832A6E" w:rsidR="00FD7D45" w:rsidRDefault="00FD7D45" w:rsidP="00FD7D45">
      <w:pPr>
        <w:spacing w:before="60" w:after="120" w:line="360" w:lineRule="auto"/>
        <w:ind w:firstLine="720"/>
        <w:jc w:val="both"/>
        <w:rPr>
          <w:rFonts w:cstheme="minorHAnsi"/>
          <w:sz w:val="24"/>
          <w:szCs w:val="24"/>
        </w:rPr>
      </w:pPr>
      <w:r w:rsidRPr="00136CA2">
        <w:rPr>
          <w:rFonts w:cstheme="minorHAnsi"/>
          <w:sz w:val="24"/>
          <w:szCs w:val="24"/>
        </w:rPr>
        <w:t>A probabilidade representa a possibilidade de que um determinado risco ocorrerá. Poderá ser determinada considerando as seguintes premissas:</w:t>
      </w:r>
    </w:p>
    <w:p w14:paraId="1EFF8405" w14:textId="77777777" w:rsidR="00407056" w:rsidRPr="00136CA2" w:rsidRDefault="00407056" w:rsidP="00FD7D45">
      <w:pPr>
        <w:spacing w:before="60" w:after="120" w:line="360" w:lineRule="auto"/>
        <w:ind w:firstLine="720"/>
        <w:jc w:val="both"/>
        <w:rPr>
          <w:rFonts w:cstheme="minorHAnsi"/>
          <w:sz w:val="24"/>
          <w:szCs w:val="24"/>
        </w:rPr>
      </w:pPr>
    </w:p>
    <w:p w14:paraId="187DD205" w14:textId="77777777" w:rsidR="00FD7D45" w:rsidRDefault="00FD7D45" w:rsidP="00FD7D45">
      <w:pPr>
        <w:spacing w:before="60" w:after="120" w:line="360" w:lineRule="auto"/>
        <w:jc w:val="both"/>
        <w:rPr>
          <w:sz w:val="24"/>
          <w:szCs w:val="24"/>
        </w:rPr>
      </w:pPr>
      <w:r w:rsidRPr="00B9150F">
        <w:rPr>
          <w:noProof/>
          <w:sz w:val="24"/>
          <w:szCs w:val="24"/>
        </w:rPr>
        <w:drawing>
          <wp:inline distT="0" distB="0" distL="0" distR="0" wp14:anchorId="2CA7101B" wp14:editId="2021A726">
            <wp:extent cx="5579745" cy="1656715"/>
            <wp:effectExtent l="0" t="0" r="1905" b="635"/>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9745" cy="1656715"/>
                    </a:xfrm>
                    <a:prstGeom prst="rect">
                      <a:avLst/>
                    </a:prstGeom>
                    <a:noFill/>
                    <a:ln>
                      <a:noFill/>
                    </a:ln>
                  </pic:spPr>
                </pic:pic>
              </a:graphicData>
            </a:graphic>
          </wp:inline>
        </w:drawing>
      </w:r>
    </w:p>
    <w:p w14:paraId="2DEEC17D" w14:textId="77777777" w:rsidR="00FD7D45" w:rsidRDefault="00FD7D45" w:rsidP="00FD7D45">
      <w:pPr>
        <w:spacing w:before="60" w:after="120" w:line="360" w:lineRule="auto"/>
        <w:jc w:val="both"/>
        <w:rPr>
          <w:sz w:val="24"/>
          <w:szCs w:val="24"/>
        </w:rPr>
      </w:pPr>
      <w:r w:rsidRPr="00FD05DA">
        <w:rPr>
          <w:sz w:val="24"/>
          <w:szCs w:val="24"/>
        </w:rPr>
        <w:t xml:space="preserve">Escalas de </w:t>
      </w:r>
      <w:r>
        <w:rPr>
          <w:sz w:val="24"/>
          <w:szCs w:val="24"/>
        </w:rPr>
        <w:t>I</w:t>
      </w:r>
      <w:r w:rsidRPr="00FD05DA">
        <w:rPr>
          <w:sz w:val="24"/>
          <w:szCs w:val="24"/>
        </w:rPr>
        <w:t>mpacto:</w:t>
      </w:r>
    </w:p>
    <w:p w14:paraId="3B81B0AD" w14:textId="77777777" w:rsidR="00FD7D45" w:rsidRDefault="00FD7D45" w:rsidP="00FD7D45">
      <w:pPr>
        <w:spacing w:before="60" w:after="120" w:line="360" w:lineRule="auto"/>
        <w:jc w:val="both"/>
        <w:rPr>
          <w:sz w:val="24"/>
          <w:szCs w:val="24"/>
        </w:rPr>
      </w:pPr>
      <w:r>
        <w:rPr>
          <w:sz w:val="24"/>
          <w:szCs w:val="24"/>
        </w:rPr>
        <w:tab/>
        <w:t>O impacto nos objetivos pode ser determinado considerando as seguintes premissas</w:t>
      </w:r>
      <w:r w:rsidRPr="00480135">
        <w:rPr>
          <w:sz w:val="24"/>
          <w:szCs w:val="24"/>
        </w:rPr>
        <w:t>:</w:t>
      </w:r>
    </w:p>
    <w:p w14:paraId="7963B5A2" w14:textId="77777777" w:rsidR="00FD7D45" w:rsidRDefault="00FD7D45" w:rsidP="00FD7D45">
      <w:pPr>
        <w:spacing w:before="60" w:after="120" w:line="360" w:lineRule="auto"/>
        <w:jc w:val="both"/>
        <w:rPr>
          <w:sz w:val="24"/>
          <w:szCs w:val="24"/>
        </w:rPr>
      </w:pPr>
      <w:r w:rsidRPr="005B11BB">
        <w:rPr>
          <w:noProof/>
          <w:sz w:val="24"/>
          <w:szCs w:val="24"/>
        </w:rPr>
        <w:drawing>
          <wp:inline distT="0" distB="0" distL="0" distR="0" wp14:anchorId="46160DFF" wp14:editId="5723BFC5">
            <wp:extent cx="5579745" cy="1151890"/>
            <wp:effectExtent l="0" t="0" r="190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9745" cy="1151890"/>
                    </a:xfrm>
                    <a:prstGeom prst="rect">
                      <a:avLst/>
                    </a:prstGeom>
                    <a:noFill/>
                    <a:ln>
                      <a:noFill/>
                    </a:ln>
                  </pic:spPr>
                </pic:pic>
              </a:graphicData>
            </a:graphic>
          </wp:inline>
        </w:drawing>
      </w:r>
    </w:p>
    <w:p w14:paraId="013C116D" w14:textId="77777777" w:rsidR="00FD7D45" w:rsidRPr="00136CA2" w:rsidRDefault="00FD7D45" w:rsidP="00FD7D45">
      <w:pPr>
        <w:spacing w:before="60" w:after="120" w:line="360" w:lineRule="auto"/>
        <w:ind w:firstLine="720"/>
        <w:jc w:val="both"/>
        <w:rPr>
          <w:rFonts w:cstheme="minorHAnsi"/>
          <w:sz w:val="24"/>
          <w:szCs w:val="24"/>
        </w:rPr>
      </w:pPr>
      <w:r w:rsidRPr="00136CA2">
        <w:rPr>
          <w:rFonts w:cstheme="minorHAnsi"/>
          <w:sz w:val="24"/>
          <w:szCs w:val="24"/>
        </w:rPr>
        <w:t xml:space="preserve">A multiplicação entre os valores de probabilidade e impacto define-se o </w:t>
      </w:r>
      <w:r w:rsidRPr="00136CA2">
        <w:rPr>
          <w:rFonts w:cstheme="minorHAnsi"/>
          <w:b/>
          <w:bCs/>
          <w:sz w:val="24"/>
          <w:szCs w:val="24"/>
        </w:rPr>
        <w:t>risco inerente</w:t>
      </w:r>
      <w:r w:rsidRPr="00136CA2">
        <w:rPr>
          <w:rFonts w:cstheme="minorHAnsi"/>
          <w:sz w:val="24"/>
          <w:szCs w:val="24"/>
        </w:rPr>
        <w:t>, ou seja, o risco sem considerar quaisquer controles que reduzem ou podem reduzir a probabilidade da sua ocorrência ou do seu impacto.</w:t>
      </w:r>
    </w:p>
    <w:p w14:paraId="78752297" w14:textId="77777777" w:rsidR="00FD7D45" w:rsidRDefault="00FD7D45" w:rsidP="00FD7D45">
      <w:pPr>
        <w:spacing w:before="60" w:after="120" w:line="360" w:lineRule="auto"/>
        <w:jc w:val="both"/>
        <w:rPr>
          <w:sz w:val="24"/>
          <w:szCs w:val="24"/>
        </w:rPr>
      </w:pPr>
      <w:r>
        <w:rPr>
          <w:noProof/>
          <w:sz w:val="24"/>
          <w:szCs w:val="24"/>
          <w:lang w:eastAsia="pt-BR"/>
        </w:rPr>
        <w:drawing>
          <wp:inline distT="0" distB="0" distL="0" distR="0" wp14:anchorId="1180DFB5" wp14:editId="5F7B9850">
            <wp:extent cx="5543550" cy="711200"/>
            <wp:effectExtent l="0" t="0" r="3810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A7188C3" w14:textId="5E013378" w:rsidR="00FD7D45" w:rsidRPr="00136CA2" w:rsidRDefault="00FD7D45" w:rsidP="00FD7D45">
      <w:pPr>
        <w:spacing w:before="60" w:after="120" w:line="360" w:lineRule="auto"/>
        <w:ind w:firstLine="720"/>
        <w:jc w:val="both"/>
        <w:rPr>
          <w:rFonts w:cstheme="minorHAnsi"/>
          <w:sz w:val="24"/>
          <w:szCs w:val="24"/>
        </w:rPr>
      </w:pPr>
      <w:r w:rsidRPr="00136CA2">
        <w:rPr>
          <w:rFonts w:cstheme="minorHAnsi"/>
          <w:sz w:val="24"/>
          <w:szCs w:val="24"/>
        </w:rPr>
        <w:t xml:space="preserve">Uma vez obtido o risco inerente, será </w:t>
      </w:r>
      <w:r w:rsidR="00685C05" w:rsidRPr="00136CA2">
        <w:rPr>
          <w:rFonts w:cstheme="minorHAnsi"/>
          <w:sz w:val="24"/>
          <w:szCs w:val="24"/>
        </w:rPr>
        <w:t>necessário</w:t>
      </w:r>
      <w:r w:rsidRPr="00136CA2">
        <w:rPr>
          <w:rFonts w:cstheme="minorHAnsi"/>
          <w:sz w:val="24"/>
          <w:szCs w:val="24"/>
        </w:rPr>
        <w:t xml:space="preserve"> identificar os controles existentes, avaliar a sua eficácia em relação ao cumprimento dos objetivos do processo sob análise, verificar se esses respondem de fato os riscos identificados, ou seja, se os controles têm auxiliado no tratamento adequado do risco.</w:t>
      </w:r>
    </w:p>
    <w:p w14:paraId="4FA8106F" w14:textId="1E649256" w:rsidR="00FD7D45" w:rsidRDefault="00FD7D45" w:rsidP="004036F2">
      <w:pPr>
        <w:spacing w:before="60" w:after="120" w:line="360" w:lineRule="auto"/>
        <w:ind w:firstLine="720"/>
        <w:jc w:val="both"/>
        <w:rPr>
          <w:rFonts w:cstheme="minorHAnsi"/>
          <w:sz w:val="24"/>
          <w:szCs w:val="24"/>
        </w:rPr>
      </w:pPr>
      <w:r w:rsidRPr="00136CA2">
        <w:rPr>
          <w:rFonts w:cstheme="minorHAnsi"/>
          <w:sz w:val="24"/>
          <w:szCs w:val="24"/>
        </w:rPr>
        <w:t>Uma vez levantados, reconhecidos e registrados os controles, esses são avaliados de acordo com o Fator de Avaliação dos Controles (FAC), conforme abaixo:</w:t>
      </w:r>
    </w:p>
    <w:p w14:paraId="134EBB19" w14:textId="50888F73" w:rsidR="00C27674" w:rsidRDefault="00C27674" w:rsidP="00C27674">
      <w:pPr>
        <w:spacing w:before="60" w:after="120" w:line="360" w:lineRule="auto"/>
        <w:jc w:val="center"/>
        <w:rPr>
          <w:noProof/>
          <w:sz w:val="24"/>
          <w:szCs w:val="24"/>
        </w:rPr>
      </w:pPr>
      <w:r>
        <w:rPr>
          <w:noProof/>
          <w:sz w:val="24"/>
          <w:szCs w:val="24"/>
        </w:rPr>
        <w:t>Quadro 1</w:t>
      </w:r>
      <w:r w:rsidRPr="00C27674">
        <w:rPr>
          <w:noProof/>
          <w:sz w:val="24"/>
          <w:szCs w:val="24"/>
        </w:rPr>
        <w:t xml:space="preserve">: </w:t>
      </w:r>
      <w:r w:rsidR="00C721B1" w:rsidRPr="00C721B1">
        <w:rPr>
          <w:noProof/>
          <w:sz w:val="24"/>
          <w:szCs w:val="24"/>
        </w:rPr>
        <w:t>Níveis de Avaliação dos Controles Internos Existentes</w:t>
      </w:r>
      <w:r w:rsidR="00C721B1">
        <w:rPr>
          <w:noProof/>
          <w:sz w:val="24"/>
          <w:szCs w:val="24"/>
        </w:rPr>
        <w:t xml:space="preserve"> (Fonte: </w:t>
      </w:r>
      <w:r w:rsidRPr="00C27674">
        <w:rPr>
          <w:noProof/>
          <w:sz w:val="24"/>
          <w:szCs w:val="24"/>
        </w:rPr>
        <w:t>Manual de Metodologia de Gestão de Riscos da CGU</w:t>
      </w:r>
      <w:r w:rsidR="00C721B1">
        <w:rPr>
          <w:noProof/>
          <w:sz w:val="24"/>
          <w:szCs w:val="24"/>
        </w:rPr>
        <w:t>)</w:t>
      </w:r>
    </w:p>
    <w:p w14:paraId="7D8B4424" w14:textId="77777777" w:rsidR="00FD7D45" w:rsidRDefault="00FD7D45" w:rsidP="00FD7D45">
      <w:pPr>
        <w:spacing w:before="60"/>
        <w:jc w:val="both"/>
        <w:rPr>
          <w:sz w:val="24"/>
          <w:szCs w:val="24"/>
        </w:rPr>
      </w:pPr>
      <w:r w:rsidRPr="00A66AFC">
        <w:rPr>
          <w:noProof/>
          <w:sz w:val="24"/>
          <w:szCs w:val="24"/>
        </w:rPr>
        <w:drawing>
          <wp:inline distT="0" distB="0" distL="0" distR="0" wp14:anchorId="2497B3C8" wp14:editId="6AD8C6E9">
            <wp:extent cx="5579745" cy="3135630"/>
            <wp:effectExtent l="0" t="0" r="1905" b="762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9745" cy="3135630"/>
                    </a:xfrm>
                    <a:prstGeom prst="rect">
                      <a:avLst/>
                    </a:prstGeom>
                    <a:noFill/>
                    <a:ln>
                      <a:noFill/>
                    </a:ln>
                  </pic:spPr>
                </pic:pic>
              </a:graphicData>
            </a:graphic>
          </wp:inline>
        </w:drawing>
      </w:r>
    </w:p>
    <w:p w14:paraId="62C226C4" w14:textId="7A295310" w:rsidR="00FD7D45" w:rsidRDefault="00FD7D45" w:rsidP="00FD7D45">
      <w:pPr>
        <w:spacing w:before="60"/>
        <w:jc w:val="both"/>
        <w:rPr>
          <w:sz w:val="20"/>
        </w:rPr>
      </w:pPr>
      <w:r>
        <w:rPr>
          <w:sz w:val="24"/>
          <w:szCs w:val="24"/>
        </w:rPr>
        <w:tab/>
      </w:r>
      <w:r>
        <w:rPr>
          <w:sz w:val="24"/>
          <w:szCs w:val="24"/>
        </w:rPr>
        <w:tab/>
      </w:r>
      <w:r>
        <w:rPr>
          <w:sz w:val="24"/>
          <w:szCs w:val="24"/>
        </w:rPr>
        <w:tab/>
      </w:r>
    </w:p>
    <w:p w14:paraId="7E1F7389" w14:textId="77777777" w:rsidR="004036F2" w:rsidRDefault="004036F2" w:rsidP="00FD7D45">
      <w:pPr>
        <w:spacing w:before="60" w:after="120" w:line="360" w:lineRule="auto"/>
        <w:ind w:firstLine="720"/>
        <w:jc w:val="both"/>
        <w:rPr>
          <w:sz w:val="24"/>
          <w:szCs w:val="24"/>
        </w:rPr>
      </w:pPr>
    </w:p>
    <w:p w14:paraId="7B21E298" w14:textId="17F070AE" w:rsidR="00FD7D45" w:rsidRDefault="00FD7D45" w:rsidP="00FD7D45">
      <w:pPr>
        <w:spacing w:before="60" w:after="120" w:line="360" w:lineRule="auto"/>
        <w:ind w:firstLine="720"/>
        <w:jc w:val="both"/>
        <w:rPr>
          <w:sz w:val="24"/>
          <w:szCs w:val="24"/>
        </w:rPr>
      </w:pPr>
      <w:r>
        <w:rPr>
          <w:sz w:val="24"/>
          <w:szCs w:val="24"/>
        </w:rPr>
        <w:t>Nisso, para se obter o risco residual, multiplica-se o</w:t>
      </w:r>
      <w:r w:rsidRPr="00A543A7">
        <w:rPr>
          <w:sz w:val="24"/>
          <w:szCs w:val="24"/>
        </w:rPr>
        <w:t xml:space="preserve"> valor final do risco inerente </w:t>
      </w:r>
      <w:r>
        <w:rPr>
          <w:sz w:val="24"/>
          <w:szCs w:val="24"/>
        </w:rPr>
        <w:t xml:space="preserve">(probabilidade e </w:t>
      </w:r>
      <w:r w:rsidR="00685C05">
        <w:rPr>
          <w:sz w:val="24"/>
          <w:szCs w:val="24"/>
        </w:rPr>
        <w:t>impacto</w:t>
      </w:r>
      <w:r>
        <w:rPr>
          <w:sz w:val="24"/>
          <w:szCs w:val="24"/>
        </w:rPr>
        <w:t>) pelo Fator de Avaliação dos Controles (FAC):</w:t>
      </w:r>
    </w:p>
    <w:p w14:paraId="5DFEC865" w14:textId="77777777" w:rsidR="00FD7D45" w:rsidRPr="00B36C73" w:rsidRDefault="00FD7D45" w:rsidP="00FD7D45">
      <w:pPr>
        <w:spacing w:before="60" w:after="120" w:line="360" w:lineRule="auto"/>
        <w:jc w:val="both"/>
        <w:rPr>
          <w:sz w:val="24"/>
          <w:szCs w:val="24"/>
        </w:rPr>
      </w:pPr>
      <w:r w:rsidRPr="00B36C73">
        <w:rPr>
          <w:noProof/>
          <w:sz w:val="24"/>
          <w:szCs w:val="24"/>
          <w:lang w:eastAsia="pt-BR"/>
        </w:rPr>
        <w:drawing>
          <wp:inline distT="0" distB="0" distL="0" distR="0" wp14:anchorId="1953CEE2" wp14:editId="1ACCF035">
            <wp:extent cx="5543550" cy="457200"/>
            <wp:effectExtent l="19050" t="0" r="19050" b="1905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125AA92E" w14:textId="77777777" w:rsidR="00FD7D45" w:rsidRPr="00136CA2" w:rsidRDefault="00FD7D45" w:rsidP="00FD7D45">
      <w:pPr>
        <w:spacing w:before="60" w:after="120" w:line="360" w:lineRule="auto"/>
        <w:ind w:firstLine="720"/>
        <w:jc w:val="both"/>
        <w:rPr>
          <w:rFonts w:cstheme="minorHAnsi"/>
          <w:sz w:val="24"/>
          <w:szCs w:val="24"/>
        </w:rPr>
      </w:pPr>
      <w:r w:rsidRPr="00136CA2">
        <w:rPr>
          <w:rFonts w:cstheme="minorHAnsi"/>
          <w:sz w:val="24"/>
          <w:szCs w:val="24"/>
        </w:rPr>
        <w:t>O valor de risco residual pode fazer com que o risco se enquadre em uma faixa menor do que a faixa obtida no risco inerente.</w:t>
      </w:r>
    </w:p>
    <w:p w14:paraId="4B101ED4" w14:textId="51D024C6" w:rsidR="00FD7D45" w:rsidRDefault="00FD7D45" w:rsidP="00FD7D45">
      <w:pPr>
        <w:spacing w:before="60" w:after="120" w:line="360" w:lineRule="auto"/>
        <w:ind w:firstLine="720"/>
        <w:jc w:val="both"/>
        <w:rPr>
          <w:rFonts w:cstheme="minorHAnsi"/>
          <w:sz w:val="24"/>
          <w:szCs w:val="24"/>
        </w:rPr>
      </w:pPr>
      <w:r w:rsidRPr="00136CA2">
        <w:rPr>
          <w:rFonts w:cstheme="minorHAnsi"/>
          <w:sz w:val="24"/>
          <w:szCs w:val="24"/>
        </w:rPr>
        <w:t>O risco residual</w:t>
      </w:r>
      <w:r w:rsidRPr="00136CA2">
        <w:rPr>
          <w:rFonts w:cstheme="minorHAnsi"/>
          <w:b/>
          <w:bCs/>
          <w:sz w:val="24"/>
          <w:szCs w:val="24"/>
        </w:rPr>
        <w:t xml:space="preserve"> </w:t>
      </w:r>
      <w:r w:rsidRPr="00136CA2">
        <w:rPr>
          <w:rFonts w:cstheme="minorHAnsi"/>
          <w:sz w:val="24"/>
          <w:szCs w:val="24"/>
        </w:rPr>
        <w:t>é o</w:t>
      </w:r>
      <w:r w:rsidRPr="00136CA2">
        <w:rPr>
          <w:rFonts w:cstheme="minorHAnsi"/>
          <w:b/>
          <w:bCs/>
          <w:sz w:val="24"/>
          <w:szCs w:val="24"/>
        </w:rPr>
        <w:t xml:space="preserve"> </w:t>
      </w:r>
      <w:r w:rsidRPr="00136CA2">
        <w:rPr>
          <w:rFonts w:cstheme="minorHAnsi"/>
          <w:sz w:val="24"/>
          <w:szCs w:val="24"/>
        </w:rPr>
        <w:t>que</w:t>
      </w:r>
      <w:r w:rsidRPr="00136CA2">
        <w:rPr>
          <w:rFonts w:cstheme="minorHAnsi"/>
          <w:spacing w:val="-5"/>
          <w:sz w:val="24"/>
          <w:szCs w:val="24"/>
        </w:rPr>
        <w:t xml:space="preserve"> </w:t>
      </w:r>
      <w:r w:rsidRPr="00136CA2">
        <w:rPr>
          <w:rFonts w:cstheme="minorHAnsi"/>
          <w:sz w:val="24"/>
          <w:szCs w:val="24"/>
        </w:rPr>
        <w:t>ainda</w:t>
      </w:r>
      <w:r w:rsidRPr="00136CA2">
        <w:rPr>
          <w:rFonts w:cstheme="minorHAnsi"/>
          <w:spacing w:val="-4"/>
          <w:sz w:val="24"/>
          <w:szCs w:val="24"/>
        </w:rPr>
        <w:t xml:space="preserve"> </w:t>
      </w:r>
      <w:r w:rsidRPr="00136CA2">
        <w:rPr>
          <w:rFonts w:cstheme="minorHAnsi"/>
          <w:sz w:val="24"/>
          <w:szCs w:val="24"/>
        </w:rPr>
        <w:t>permanece depois de considerado o efeito das medidas adotadas pela gestão para reduzir a probabilidade ou atenuar o impacto dos riscos, incluindo controles internos, medidas para responder os riscos e outras</w:t>
      </w:r>
      <w:r w:rsidRPr="00136CA2">
        <w:rPr>
          <w:rFonts w:cstheme="minorHAnsi"/>
          <w:spacing w:val="-8"/>
          <w:sz w:val="24"/>
          <w:szCs w:val="24"/>
        </w:rPr>
        <w:t xml:space="preserve"> </w:t>
      </w:r>
      <w:r w:rsidRPr="00136CA2">
        <w:rPr>
          <w:rFonts w:cstheme="minorHAnsi"/>
          <w:sz w:val="24"/>
          <w:szCs w:val="24"/>
        </w:rPr>
        <w:t xml:space="preserve">ações. </w:t>
      </w:r>
    </w:p>
    <w:p w14:paraId="391F9AD2" w14:textId="6A0BC675" w:rsidR="00407056" w:rsidRPr="00136CA2" w:rsidRDefault="00407056" w:rsidP="00407056">
      <w:pPr>
        <w:spacing w:before="240" w:after="120" w:line="360" w:lineRule="auto"/>
        <w:jc w:val="center"/>
        <w:rPr>
          <w:rFonts w:cstheme="minorHAnsi"/>
          <w:sz w:val="24"/>
          <w:szCs w:val="24"/>
        </w:rPr>
      </w:pPr>
      <w:r w:rsidRPr="00C27674">
        <w:rPr>
          <w:rFonts w:ascii="Calibri" w:hAnsi="Calibri" w:cs="Calibri"/>
          <w:sz w:val="24"/>
          <w:szCs w:val="24"/>
        </w:rPr>
        <w:t xml:space="preserve">Figura </w:t>
      </w:r>
      <w:r>
        <w:rPr>
          <w:rFonts w:ascii="Calibri" w:hAnsi="Calibri" w:cs="Calibri"/>
          <w:sz w:val="24"/>
          <w:szCs w:val="24"/>
        </w:rPr>
        <w:t>6</w:t>
      </w:r>
      <w:r>
        <w:rPr>
          <w:rFonts w:ascii="Calibri" w:hAnsi="Calibri" w:cs="Calibri"/>
          <w:sz w:val="24"/>
          <w:szCs w:val="24"/>
        </w:rPr>
        <w:t xml:space="preserve"> </w:t>
      </w:r>
      <w:r w:rsidRPr="00C27674">
        <w:rPr>
          <w:rFonts w:ascii="Calibri" w:hAnsi="Calibri" w:cs="Calibri"/>
          <w:sz w:val="24"/>
          <w:szCs w:val="24"/>
        </w:rPr>
        <w:t xml:space="preserve">– </w:t>
      </w:r>
      <w:r>
        <w:rPr>
          <w:rFonts w:ascii="Calibri" w:hAnsi="Calibri" w:cs="Calibri"/>
          <w:sz w:val="24"/>
          <w:szCs w:val="24"/>
        </w:rPr>
        <w:t>Cálculo do Risco Residual (</w:t>
      </w:r>
      <w:r w:rsidRPr="00407056">
        <w:rPr>
          <w:rFonts w:ascii="Calibri" w:hAnsi="Calibri" w:cs="Calibri"/>
          <w:sz w:val="24"/>
          <w:szCs w:val="24"/>
        </w:rPr>
        <w:t>Fonte: Manual de Metodologia de Gestão de Riscos da CGU</w:t>
      </w:r>
    </w:p>
    <w:p w14:paraId="447B829B" w14:textId="4A920F63" w:rsidR="00FD7D45" w:rsidRDefault="00407056" w:rsidP="00FD7D45">
      <w:pPr>
        <w:spacing w:before="60" w:after="120" w:line="360" w:lineRule="auto"/>
        <w:jc w:val="both"/>
        <w:rPr>
          <w:sz w:val="24"/>
          <w:szCs w:val="24"/>
        </w:rPr>
      </w:pPr>
      <w:r w:rsidRPr="00407056">
        <w:drawing>
          <wp:inline distT="0" distB="0" distL="0" distR="0" wp14:anchorId="27E900CB" wp14:editId="787703F9">
            <wp:extent cx="5759450" cy="2830195"/>
            <wp:effectExtent l="0" t="0" r="0" b="825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2830195"/>
                    </a:xfrm>
                    <a:prstGeom prst="rect">
                      <a:avLst/>
                    </a:prstGeom>
                    <a:noFill/>
                    <a:ln>
                      <a:noFill/>
                    </a:ln>
                  </pic:spPr>
                </pic:pic>
              </a:graphicData>
            </a:graphic>
          </wp:inline>
        </w:drawing>
      </w:r>
    </w:p>
    <w:p w14:paraId="3684DB9D" w14:textId="7C355E4E" w:rsidR="004036F2" w:rsidRDefault="00B677CA" w:rsidP="004036F2">
      <w:pPr>
        <w:spacing w:before="60" w:after="120" w:line="360" w:lineRule="auto"/>
        <w:ind w:firstLine="720"/>
        <w:jc w:val="both"/>
        <w:rPr>
          <w:rFonts w:cstheme="minorHAnsi"/>
          <w:sz w:val="24"/>
          <w:szCs w:val="24"/>
        </w:rPr>
      </w:pPr>
      <w:r>
        <w:rPr>
          <w:rFonts w:cstheme="minorHAnsi"/>
          <w:sz w:val="24"/>
          <w:szCs w:val="24"/>
        </w:rPr>
        <w:t xml:space="preserve">A </w:t>
      </w:r>
      <w:r w:rsidRPr="00136CA2">
        <w:rPr>
          <w:rFonts w:cstheme="minorHAnsi"/>
          <w:sz w:val="24"/>
          <w:szCs w:val="24"/>
        </w:rPr>
        <w:t xml:space="preserve">partir da aplicação da matriz de probabilidade e impacto (5x5), </w:t>
      </w:r>
      <w:r>
        <w:rPr>
          <w:rFonts w:cstheme="minorHAnsi"/>
          <w:sz w:val="24"/>
          <w:szCs w:val="24"/>
        </w:rPr>
        <w:t xml:space="preserve">de acordo com </w:t>
      </w:r>
      <w:r w:rsidRPr="00136CA2">
        <w:rPr>
          <w:rFonts w:cstheme="minorHAnsi"/>
          <w:sz w:val="24"/>
          <w:szCs w:val="24"/>
        </w:rPr>
        <w:t>o modelo adotado</w:t>
      </w:r>
      <w:r>
        <w:rPr>
          <w:rFonts w:cstheme="minorHAnsi"/>
          <w:sz w:val="24"/>
          <w:szCs w:val="24"/>
        </w:rPr>
        <w:t xml:space="preserve"> e da aplicação do fator de avaliação de controles, o </w:t>
      </w:r>
      <w:r w:rsidR="00FD7D45" w:rsidRPr="00136CA2">
        <w:rPr>
          <w:rFonts w:cstheme="minorHAnsi"/>
          <w:sz w:val="24"/>
          <w:szCs w:val="24"/>
        </w:rPr>
        <w:t xml:space="preserve">risco residual é </w:t>
      </w:r>
      <w:r w:rsidR="00685C05" w:rsidRPr="00136CA2">
        <w:rPr>
          <w:rFonts w:cstheme="minorHAnsi"/>
          <w:sz w:val="24"/>
          <w:szCs w:val="24"/>
        </w:rPr>
        <w:t>classificado em</w:t>
      </w:r>
      <w:r w:rsidR="00FD7D45" w:rsidRPr="00136CA2">
        <w:rPr>
          <w:rFonts w:cstheme="minorHAnsi"/>
          <w:sz w:val="24"/>
          <w:szCs w:val="24"/>
        </w:rPr>
        <w:t xml:space="preserve"> 4 (quatro) níveis: </w:t>
      </w:r>
      <w:r w:rsidR="00FD7D45" w:rsidRPr="00136CA2">
        <w:rPr>
          <w:rFonts w:cstheme="minorHAnsi"/>
          <w:b/>
          <w:bCs/>
          <w:sz w:val="24"/>
          <w:szCs w:val="24"/>
        </w:rPr>
        <w:t>Extremo, Alto, Médio e Baixo</w:t>
      </w:r>
      <w:r>
        <w:rPr>
          <w:rFonts w:cstheme="minorHAnsi"/>
          <w:sz w:val="24"/>
          <w:szCs w:val="24"/>
        </w:rPr>
        <w:t xml:space="preserve"> e</w:t>
      </w:r>
      <w:r w:rsidR="00F47943" w:rsidRPr="00136CA2">
        <w:rPr>
          <w:rFonts w:cstheme="minorHAnsi"/>
          <w:sz w:val="24"/>
          <w:szCs w:val="24"/>
        </w:rPr>
        <w:t>m função do apetite a risco definido pelo Ministério da Saúde</w:t>
      </w:r>
      <w:r>
        <w:rPr>
          <w:rFonts w:cstheme="minorHAnsi"/>
          <w:sz w:val="24"/>
          <w:szCs w:val="24"/>
        </w:rPr>
        <w:t xml:space="preserve">, </w:t>
      </w:r>
      <w:r w:rsidR="004036F2" w:rsidRPr="00136CA2">
        <w:rPr>
          <w:rFonts w:cstheme="minorHAnsi"/>
          <w:sz w:val="24"/>
          <w:szCs w:val="24"/>
        </w:rPr>
        <w:t>considerando as seguintes faixas:</w:t>
      </w:r>
    </w:p>
    <w:p w14:paraId="296CB5FE" w14:textId="43593F84" w:rsidR="00F966A8" w:rsidRPr="00136CA2" w:rsidRDefault="00F966A8" w:rsidP="00F966A8">
      <w:pPr>
        <w:spacing w:before="240" w:after="120" w:line="360" w:lineRule="auto"/>
        <w:jc w:val="center"/>
        <w:rPr>
          <w:rFonts w:cstheme="minorHAnsi"/>
          <w:sz w:val="24"/>
          <w:szCs w:val="24"/>
        </w:rPr>
      </w:pPr>
      <w:r w:rsidRPr="00C27674">
        <w:rPr>
          <w:rFonts w:ascii="Calibri" w:hAnsi="Calibri" w:cs="Calibri"/>
          <w:sz w:val="24"/>
          <w:szCs w:val="24"/>
        </w:rPr>
        <w:t xml:space="preserve">Figura </w:t>
      </w:r>
      <w:r>
        <w:rPr>
          <w:rFonts w:ascii="Calibri" w:hAnsi="Calibri" w:cs="Calibri"/>
          <w:sz w:val="24"/>
          <w:szCs w:val="24"/>
        </w:rPr>
        <w:t>8</w:t>
      </w:r>
      <w:r>
        <w:rPr>
          <w:rFonts w:ascii="Calibri" w:hAnsi="Calibri" w:cs="Calibri"/>
          <w:sz w:val="24"/>
          <w:szCs w:val="24"/>
        </w:rPr>
        <w:t xml:space="preserve"> </w:t>
      </w:r>
      <w:r w:rsidRPr="00C27674">
        <w:rPr>
          <w:rFonts w:ascii="Calibri" w:hAnsi="Calibri" w:cs="Calibri"/>
          <w:sz w:val="24"/>
          <w:szCs w:val="24"/>
        </w:rPr>
        <w:t xml:space="preserve">– </w:t>
      </w:r>
      <w:r>
        <w:rPr>
          <w:rFonts w:ascii="Calibri" w:hAnsi="Calibri" w:cs="Calibri"/>
          <w:sz w:val="24"/>
          <w:szCs w:val="24"/>
        </w:rPr>
        <w:t xml:space="preserve">Níveis de Riscos </w:t>
      </w:r>
      <w:r>
        <w:rPr>
          <w:rFonts w:ascii="Calibri" w:hAnsi="Calibri" w:cs="Calibri"/>
          <w:sz w:val="24"/>
          <w:szCs w:val="24"/>
        </w:rPr>
        <w:t>Residual (</w:t>
      </w:r>
      <w:r w:rsidRPr="00407056">
        <w:rPr>
          <w:rFonts w:ascii="Calibri" w:hAnsi="Calibri" w:cs="Calibri"/>
          <w:sz w:val="24"/>
          <w:szCs w:val="24"/>
        </w:rPr>
        <w:t>Fonte: Manual de Metodologia de Gestão de Riscos da CGU</w:t>
      </w:r>
    </w:p>
    <w:p w14:paraId="21E9ECBB" w14:textId="69DCB2A1" w:rsidR="004036F2" w:rsidRDefault="00F966A8" w:rsidP="004036F2">
      <w:pPr>
        <w:spacing w:before="60" w:after="120" w:line="360" w:lineRule="auto"/>
        <w:jc w:val="both"/>
        <w:rPr>
          <w:sz w:val="24"/>
          <w:szCs w:val="24"/>
        </w:rPr>
      </w:pPr>
      <w:r w:rsidRPr="00F966A8">
        <w:drawing>
          <wp:inline distT="0" distB="0" distL="0" distR="0" wp14:anchorId="18561A42" wp14:editId="11865EF5">
            <wp:extent cx="5759450" cy="951230"/>
            <wp:effectExtent l="0" t="0" r="0" b="127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951230"/>
                    </a:xfrm>
                    <a:prstGeom prst="rect">
                      <a:avLst/>
                    </a:prstGeom>
                    <a:noFill/>
                    <a:ln>
                      <a:noFill/>
                    </a:ln>
                  </pic:spPr>
                </pic:pic>
              </a:graphicData>
            </a:graphic>
          </wp:inline>
        </w:drawing>
      </w:r>
    </w:p>
    <w:p w14:paraId="2A914877" w14:textId="6AF59FD6" w:rsidR="00C66CA1" w:rsidRDefault="00C66CA1" w:rsidP="004036F2">
      <w:pPr>
        <w:spacing w:before="60" w:after="120" w:line="360" w:lineRule="auto"/>
        <w:jc w:val="both"/>
        <w:rPr>
          <w:sz w:val="24"/>
          <w:szCs w:val="24"/>
        </w:rPr>
      </w:pPr>
      <w:r>
        <w:rPr>
          <w:sz w:val="24"/>
          <w:szCs w:val="24"/>
        </w:rPr>
        <w:tab/>
        <w:t>Níveis de riscos residuais e as ações necessárias:</w:t>
      </w:r>
    </w:p>
    <w:p w14:paraId="6C01D5D7" w14:textId="6F6D9E0B" w:rsidR="00F966A8" w:rsidRDefault="00F966A8" w:rsidP="00F966A8">
      <w:pPr>
        <w:spacing w:before="60" w:after="120" w:line="360" w:lineRule="auto"/>
        <w:jc w:val="center"/>
        <w:rPr>
          <w:sz w:val="24"/>
          <w:szCs w:val="24"/>
        </w:rPr>
      </w:pPr>
      <w:r>
        <w:rPr>
          <w:noProof/>
          <w:sz w:val="24"/>
          <w:szCs w:val="24"/>
        </w:rPr>
        <w:t xml:space="preserve">Quadro </w:t>
      </w:r>
      <w:r>
        <w:rPr>
          <w:noProof/>
          <w:sz w:val="24"/>
          <w:szCs w:val="24"/>
        </w:rPr>
        <w:t>2</w:t>
      </w:r>
      <w:r w:rsidRPr="00C27674">
        <w:rPr>
          <w:noProof/>
          <w:sz w:val="24"/>
          <w:szCs w:val="24"/>
        </w:rPr>
        <w:t xml:space="preserve">: </w:t>
      </w:r>
      <w:r w:rsidRPr="00C721B1">
        <w:rPr>
          <w:noProof/>
          <w:sz w:val="24"/>
          <w:szCs w:val="24"/>
        </w:rPr>
        <w:t xml:space="preserve">Níveis de </w:t>
      </w:r>
      <w:r>
        <w:rPr>
          <w:noProof/>
          <w:sz w:val="24"/>
          <w:szCs w:val="24"/>
        </w:rPr>
        <w:t>Riscos e Ações Necessárias</w:t>
      </w:r>
    </w:p>
    <w:p w14:paraId="31C82D65" w14:textId="72F3E31C" w:rsidR="00185B95" w:rsidRDefault="005A4BC8" w:rsidP="0093319F">
      <w:pPr>
        <w:spacing w:before="60" w:after="120" w:line="360" w:lineRule="auto"/>
        <w:jc w:val="both"/>
        <w:rPr>
          <w:sz w:val="24"/>
          <w:szCs w:val="24"/>
        </w:rPr>
      </w:pPr>
      <w:r w:rsidRPr="005A4BC8">
        <w:rPr>
          <w:noProof/>
          <w:sz w:val="24"/>
          <w:szCs w:val="24"/>
        </w:rPr>
        <w:drawing>
          <wp:inline distT="0" distB="0" distL="0" distR="0" wp14:anchorId="5A64F745" wp14:editId="4B2FB136">
            <wp:extent cx="5759450" cy="1984375"/>
            <wp:effectExtent l="0" t="0" r="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1984375"/>
                    </a:xfrm>
                    <a:prstGeom prst="rect">
                      <a:avLst/>
                    </a:prstGeom>
                    <a:noFill/>
                    <a:ln>
                      <a:noFill/>
                    </a:ln>
                  </pic:spPr>
                </pic:pic>
              </a:graphicData>
            </a:graphic>
          </wp:inline>
        </w:drawing>
      </w:r>
    </w:p>
    <w:p w14:paraId="37E3C9F8" w14:textId="77777777" w:rsidR="0093319F" w:rsidRDefault="0093319F" w:rsidP="00FD7D45">
      <w:pPr>
        <w:spacing w:before="60" w:after="120" w:line="360" w:lineRule="auto"/>
        <w:ind w:firstLine="720"/>
        <w:jc w:val="both"/>
        <w:rPr>
          <w:sz w:val="24"/>
          <w:szCs w:val="24"/>
        </w:rPr>
      </w:pPr>
    </w:p>
    <w:p w14:paraId="6524F08E" w14:textId="050C3337" w:rsidR="00FD7D45" w:rsidRPr="00143388" w:rsidRDefault="00FD7D45" w:rsidP="00586858">
      <w:pPr>
        <w:pStyle w:val="Ttulo1"/>
        <w:numPr>
          <w:ilvl w:val="1"/>
          <w:numId w:val="4"/>
        </w:numPr>
        <w:spacing w:before="120" w:after="120"/>
        <w:rPr>
          <w:rFonts w:asciiTheme="minorHAnsi" w:hAnsiTheme="minorHAnsi" w:cstheme="minorHAnsi"/>
          <w:sz w:val="26"/>
          <w:szCs w:val="26"/>
        </w:rPr>
      </w:pPr>
      <w:bookmarkStart w:id="20" w:name="_Toc74468866"/>
      <w:r w:rsidRPr="00143388">
        <w:rPr>
          <w:rFonts w:asciiTheme="minorHAnsi" w:hAnsiTheme="minorHAnsi" w:cstheme="minorHAnsi"/>
          <w:sz w:val="26"/>
          <w:szCs w:val="26"/>
        </w:rPr>
        <w:t>Resposta aos Riscos</w:t>
      </w:r>
      <w:bookmarkEnd w:id="20"/>
    </w:p>
    <w:p w14:paraId="552D6CFF" w14:textId="77777777" w:rsidR="00FD7D45" w:rsidRDefault="00FD7D45" w:rsidP="00FD7D45">
      <w:pPr>
        <w:spacing w:before="60" w:after="120" w:line="360" w:lineRule="auto"/>
        <w:ind w:firstLine="720"/>
        <w:jc w:val="both"/>
        <w:rPr>
          <w:sz w:val="24"/>
          <w:szCs w:val="24"/>
        </w:rPr>
      </w:pPr>
    </w:p>
    <w:p w14:paraId="1713770B" w14:textId="4C70F560" w:rsidR="00504187" w:rsidRDefault="00504187" w:rsidP="00FD7D45">
      <w:pPr>
        <w:spacing w:before="60" w:after="120" w:line="360" w:lineRule="auto"/>
        <w:ind w:firstLine="720"/>
        <w:jc w:val="both"/>
        <w:rPr>
          <w:sz w:val="24"/>
          <w:szCs w:val="24"/>
        </w:rPr>
      </w:pPr>
      <w:r>
        <w:rPr>
          <w:sz w:val="24"/>
          <w:szCs w:val="24"/>
        </w:rPr>
        <w:t>C</w:t>
      </w:r>
      <w:r w:rsidRPr="00504187">
        <w:rPr>
          <w:sz w:val="24"/>
          <w:szCs w:val="24"/>
        </w:rPr>
        <w:t>onsi</w:t>
      </w:r>
      <w:r>
        <w:rPr>
          <w:sz w:val="24"/>
          <w:szCs w:val="24"/>
        </w:rPr>
        <w:t>s</w:t>
      </w:r>
      <w:r w:rsidRPr="00504187">
        <w:rPr>
          <w:sz w:val="24"/>
          <w:szCs w:val="24"/>
        </w:rPr>
        <w:t>te em selecionar e implementar ações para responder os riscos, considerando os benefícios potenciais relativos ao alcance dos objetivos, face aos custos, esforço ou desvantagens da implementação, e na elaboração de plano especificando as ações para responder os riscos, de maneira que sejam compreendidos pelos envolvidos, e permita o monitoramento.</w:t>
      </w:r>
    </w:p>
    <w:p w14:paraId="4ABB64AD" w14:textId="14346EFB" w:rsidR="00FD7D45" w:rsidRDefault="00FD7D45" w:rsidP="00FD7D45">
      <w:pPr>
        <w:spacing w:before="60" w:after="120" w:line="360" w:lineRule="auto"/>
        <w:ind w:firstLine="720"/>
        <w:jc w:val="both"/>
        <w:rPr>
          <w:sz w:val="24"/>
          <w:szCs w:val="24"/>
        </w:rPr>
      </w:pPr>
      <w:r w:rsidRPr="00B1721C">
        <w:rPr>
          <w:sz w:val="24"/>
          <w:szCs w:val="24"/>
        </w:rPr>
        <w:t xml:space="preserve">As </w:t>
      </w:r>
      <w:r>
        <w:rPr>
          <w:sz w:val="24"/>
          <w:szCs w:val="24"/>
        </w:rPr>
        <w:t xml:space="preserve">estratégias </w:t>
      </w:r>
      <w:r w:rsidRPr="00B1721C">
        <w:rPr>
          <w:sz w:val="24"/>
          <w:szCs w:val="24"/>
        </w:rPr>
        <w:t xml:space="preserve">adotadas para responder aos </w:t>
      </w:r>
      <w:r w:rsidRPr="00B1721C">
        <w:rPr>
          <w:b/>
          <w:bCs/>
          <w:sz w:val="24"/>
          <w:szCs w:val="24"/>
        </w:rPr>
        <w:t>riscos residuais</w:t>
      </w:r>
      <w:r w:rsidRPr="00B1721C">
        <w:rPr>
          <w:sz w:val="24"/>
          <w:szCs w:val="24"/>
        </w:rPr>
        <w:t xml:space="preserve"> são: </w:t>
      </w:r>
    </w:p>
    <w:p w14:paraId="342DB93C" w14:textId="10527BF9" w:rsidR="00FF112D" w:rsidRDefault="00FF112D" w:rsidP="00FF112D">
      <w:pPr>
        <w:spacing w:before="60" w:after="120" w:line="360" w:lineRule="auto"/>
        <w:jc w:val="both"/>
        <w:rPr>
          <w:sz w:val="24"/>
          <w:szCs w:val="24"/>
        </w:rPr>
      </w:pPr>
      <w:r>
        <w:rPr>
          <w:noProof/>
          <w:sz w:val="24"/>
          <w:szCs w:val="24"/>
        </w:rPr>
        <w:drawing>
          <wp:inline distT="0" distB="0" distL="0" distR="0" wp14:anchorId="476AAD3D" wp14:editId="10AC8D6F">
            <wp:extent cx="5765800" cy="1200150"/>
            <wp:effectExtent l="38100" t="0" r="25400" b="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249A04CB" w14:textId="1302427D" w:rsidR="0093319F" w:rsidRDefault="0093319F" w:rsidP="0093319F">
      <w:pPr>
        <w:spacing w:before="60" w:after="120" w:line="360" w:lineRule="auto"/>
        <w:ind w:firstLine="720"/>
        <w:jc w:val="both"/>
        <w:rPr>
          <w:sz w:val="24"/>
          <w:szCs w:val="24"/>
        </w:rPr>
      </w:pPr>
      <w:r>
        <w:rPr>
          <w:sz w:val="24"/>
          <w:szCs w:val="24"/>
        </w:rPr>
        <w:t>Nisso, c</w:t>
      </w:r>
      <w:r w:rsidRPr="001E7223">
        <w:rPr>
          <w:sz w:val="24"/>
          <w:szCs w:val="24"/>
        </w:rPr>
        <w:t xml:space="preserve">ada </w:t>
      </w:r>
      <w:r>
        <w:rPr>
          <w:sz w:val="24"/>
          <w:szCs w:val="24"/>
        </w:rPr>
        <w:t xml:space="preserve">nível de </w:t>
      </w:r>
      <w:r w:rsidRPr="001E7223">
        <w:rPr>
          <w:sz w:val="24"/>
          <w:szCs w:val="24"/>
        </w:rPr>
        <w:t>risco residual está relacionado a uma opção de resposta</w:t>
      </w:r>
      <w:r>
        <w:rPr>
          <w:sz w:val="24"/>
          <w:szCs w:val="24"/>
        </w:rPr>
        <w:t>. Os gestores de processos, também chamados “donos dos riscos” são os responsáveis por adotar ações para responder os riscos</w:t>
      </w:r>
      <w:r w:rsidR="005F71A0">
        <w:rPr>
          <w:sz w:val="24"/>
          <w:szCs w:val="24"/>
        </w:rPr>
        <w:t>.</w:t>
      </w:r>
    </w:p>
    <w:p w14:paraId="7673325D" w14:textId="0D3B7DDA" w:rsidR="005F71A0" w:rsidRDefault="005F71A0" w:rsidP="005F71A0">
      <w:pPr>
        <w:spacing w:before="60" w:after="120" w:line="360" w:lineRule="auto"/>
        <w:ind w:firstLine="720"/>
        <w:jc w:val="both"/>
        <w:rPr>
          <w:rFonts w:cstheme="minorHAnsi"/>
          <w:sz w:val="24"/>
          <w:szCs w:val="24"/>
        </w:rPr>
      </w:pPr>
      <w:r w:rsidRPr="00136CA2">
        <w:rPr>
          <w:rFonts w:cstheme="minorHAnsi"/>
          <w:sz w:val="24"/>
          <w:szCs w:val="24"/>
        </w:rPr>
        <w:t xml:space="preserve">A decisão quanto a implementação de medidas para responder os riscos deve considerar o nível dos riscos </w:t>
      </w:r>
      <w:r>
        <w:rPr>
          <w:rFonts w:cstheme="minorHAnsi"/>
          <w:sz w:val="24"/>
          <w:szCs w:val="24"/>
        </w:rPr>
        <w:t>residuais e as atitudes indicadas abaixo:</w:t>
      </w:r>
    </w:p>
    <w:p w14:paraId="6146BFC9" w14:textId="77777777" w:rsidR="00506D6C" w:rsidRDefault="00506D6C" w:rsidP="00506D6C">
      <w:pPr>
        <w:spacing w:before="60" w:after="120" w:line="360" w:lineRule="auto"/>
        <w:jc w:val="center"/>
        <w:rPr>
          <w:noProof/>
          <w:sz w:val="24"/>
          <w:szCs w:val="24"/>
        </w:rPr>
      </w:pPr>
      <w:r>
        <w:rPr>
          <w:noProof/>
          <w:sz w:val="24"/>
          <w:szCs w:val="24"/>
        </w:rPr>
        <w:t xml:space="preserve">Quadro </w:t>
      </w:r>
      <w:r>
        <w:rPr>
          <w:noProof/>
          <w:sz w:val="24"/>
          <w:szCs w:val="24"/>
        </w:rPr>
        <w:t>3</w:t>
      </w:r>
      <w:r w:rsidRPr="00C27674">
        <w:rPr>
          <w:noProof/>
          <w:sz w:val="24"/>
          <w:szCs w:val="24"/>
        </w:rPr>
        <w:t xml:space="preserve">: </w:t>
      </w:r>
      <w:r>
        <w:rPr>
          <w:noProof/>
          <w:sz w:val="24"/>
          <w:szCs w:val="24"/>
        </w:rPr>
        <w:t xml:space="preserve">Opção de Resposta </w:t>
      </w:r>
    </w:p>
    <w:p w14:paraId="4E4C029A" w14:textId="07D714D4" w:rsidR="0093319F" w:rsidRDefault="00883017" w:rsidP="00506D6C">
      <w:pPr>
        <w:spacing w:before="60" w:after="120" w:line="360" w:lineRule="auto"/>
        <w:jc w:val="center"/>
        <w:rPr>
          <w:rFonts w:cstheme="minorHAnsi"/>
          <w:sz w:val="24"/>
          <w:szCs w:val="24"/>
        </w:rPr>
      </w:pPr>
      <w:r w:rsidRPr="00883017">
        <w:rPr>
          <w:rFonts w:cstheme="minorHAnsi"/>
          <w:noProof/>
          <w:sz w:val="24"/>
          <w:szCs w:val="24"/>
        </w:rPr>
        <w:drawing>
          <wp:inline distT="0" distB="0" distL="0" distR="0" wp14:anchorId="03729AFD" wp14:editId="128C35DF">
            <wp:extent cx="5759450" cy="1687830"/>
            <wp:effectExtent l="0" t="0" r="0" b="762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1687830"/>
                    </a:xfrm>
                    <a:prstGeom prst="rect">
                      <a:avLst/>
                    </a:prstGeom>
                    <a:noFill/>
                    <a:ln>
                      <a:noFill/>
                    </a:ln>
                  </pic:spPr>
                </pic:pic>
              </a:graphicData>
            </a:graphic>
          </wp:inline>
        </w:drawing>
      </w:r>
    </w:p>
    <w:p w14:paraId="27536015" w14:textId="2A9195CE" w:rsidR="00B61213" w:rsidRPr="00136CA2" w:rsidRDefault="00B61213" w:rsidP="00B61213">
      <w:pPr>
        <w:spacing w:before="60" w:after="120" w:line="360" w:lineRule="auto"/>
        <w:ind w:firstLine="720"/>
        <w:jc w:val="both"/>
        <w:rPr>
          <w:rFonts w:cstheme="minorHAnsi"/>
          <w:sz w:val="24"/>
          <w:szCs w:val="24"/>
        </w:rPr>
      </w:pPr>
      <w:bookmarkStart w:id="21" w:name="_Hlk74554160"/>
      <w:r w:rsidRPr="00136CA2">
        <w:rPr>
          <w:rFonts w:cstheme="minorHAnsi"/>
          <w:sz w:val="24"/>
          <w:szCs w:val="24"/>
        </w:rPr>
        <w:t>As</w:t>
      </w:r>
      <w:r w:rsidR="00D12814">
        <w:rPr>
          <w:rFonts w:cstheme="minorHAnsi"/>
          <w:sz w:val="24"/>
          <w:szCs w:val="24"/>
        </w:rPr>
        <w:t xml:space="preserve"> ações para </w:t>
      </w:r>
      <w:r w:rsidRPr="00136CA2">
        <w:rPr>
          <w:rFonts w:cstheme="minorHAnsi"/>
          <w:sz w:val="24"/>
          <w:szCs w:val="24"/>
        </w:rPr>
        <w:t>respo</w:t>
      </w:r>
      <w:r w:rsidR="00D12814">
        <w:rPr>
          <w:rFonts w:cstheme="minorHAnsi"/>
          <w:sz w:val="24"/>
          <w:szCs w:val="24"/>
        </w:rPr>
        <w:t xml:space="preserve">nder </w:t>
      </w:r>
      <w:r w:rsidRPr="00136CA2">
        <w:rPr>
          <w:rFonts w:cstheme="minorHAnsi"/>
          <w:sz w:val="24"/>
          <w:szCs w:val="24"/>
        </w:rPr>
        <w:t xml:space="preserve">os ricos podem ter natureza preventiva ou detectiva e abranger uma série de atividades manuais e automáticas, como autorizações e aprovações, verificações, reconciliações e revisões de desempenho do negócio. A segregação </w:t>
      </w:r>
      <w:r w:rsidR="00D12814">
        <w:rPr>
          <w:rFonts w:cstheme="minorHAnsi"/>
          <w:sz w:val="24"/>
          <w:szCs w:val="24"/>
        </w:rPr>
        <w:t>é</w:t>
      </w:r>
      <w:r w:rsidRPr="00136CA2">
        <w:rPr>
          <w:rFonts w:cstheme="minorHAnsi"/>
          <w:sz w:val="24"/>
          <w:szCs w:val="24"/>
        </w:rPr>
        <w:t xml:space="preserve"> uma das atividades de controle inseridas no desenvolvimento do processo. </w:t>
      </w:r>
    </w:p>
    <w:p w14:paraId="43AE4793" w14:textId="749E5EC2" w:rsidR="00FD7D45" w:rsidRPr="00136CA2" w:rsidRDefault="00CD4D76" w:rsidP="00FD7D45">
      <w:pPr>
        <w:spacing w:before="60" w:after="120" w:line="360" w:lineRule="auto"/>
        <w:ind w:firstLine="720"/>
        <w:jc w:val="both"/>
        <w:rPr>
          <w:rFonts w:cstheme="minorHAnsi"/>
          <w:sz w:val="24"/>
          <w:szCs w:val="24"/>
        </w:rPr>
      </w:pPr>
      <w:r>
        <w:rPr>
          <w:rFonts w:cstheme="minorHAnsi"/>
          <w:sz w:val="24"/>
          <w:szCs w:val="24"/>
        </w:rPr>
        <w:t xml:space="preserve">Também </w:t>
      </w:r>
      <w:r w:rsidR="00FD7D45" w:rsidRPr="00136CA2">
        <w:rPr>
          <w:rFonts w:cstheme="minorHAnsi"/>
          <w:sz w:val="24"/>
          <w:szCs w:val="24"/>
        </w:rPr>
        <w:t xml:space="preserve">podem envolver, por exemplo, a adoção de um novo controle, aprimorar um controle existente, o redesenho de um </w:t>
      </w:r>
      <w:r>
        <w:rPr>
          <w:rFonts w:cstheme="minorHAnsi"/>
          <w:sz w:val="24"/>
          <w:szCs w:val="24"/>
        </w:rPr>
        <w:t xml:space="preserve">controle ou </w:t>
      </w:r>
      <w:r w:rsidR="00FD7D45" w:rsidRPr="00136CA2">
        <w:rPr>
          <w:rFonts w:cstheme="minorHAnsi"/>
          <w:sz w:val="24"/>
          <w:szCs w:val="24"/>
        </w:rPr>
        <w:t>processo, a realocação de pessoas, a realização de ações de capacitação, o desenvolvimento ou aperfeiçoamento de soluções de tecnologia da informação, o aprimoramento das normas internas, e a adequação da estrutura organizacional, entre outros.</w:t>
      </w:r>
    </w:p>
    <w:bookmarkEnd w:id="21"/>
    <w:p w14:paraId="0FFCBDDA" w14:textId="77777777" w:rsidR="00FD7D45" w:rsidRPr="00136CA2" w:rsidRDefault="00FD7D45" w:rsidP="00FD7D45">
      <w:pPr>
        <w:spacing w:before="60" w:after="120" w:line="360" w:lineRule="auto"/>
        <w:ind w:firstLine="720"/>
        <w:jc w:val="both"/>
        <w:rPr>
          <w:rFonts w:cstheme="minorHAnsi"/>
          <w:sz w:val="24"/>
          <w:szCs w:val="24"/>
        </w:rPr>
      </w:pPr>
      <w:r w:rsidRPr="00136CA2">
        <w:rPr>
          <w:rFonts w:cstheme="minorHAnsi"/>
          <w:sz w:val="24"/>
          <w:szCs w:val="24"/>
        </w:rPr>
        <w:t>Para permitir o monitoramento e o reporte das medidas para responder os riscos, é necessária a elaboração de um plano de respostas aos riscos, que deverá conter, minimamente:</w:t>
      </w:r>
    </w:p>
    <w:p w14:paraId="6E0C19CD" w14:textId="77777777" w:rsidR="00FD7D45" w:rsidRPr="00136CA2" w:rsidRDefault="00FD7D45" w:rsidP="00586858">
      <w:pPr>
        <w:pStyle w:val="PargrafodaLista"/>
        <w:numPr>
          <w:ilvl w:val="0"/>
          <w:numId w:val="1"/>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informações da Unidade, processo, responsáveis e o período em que a análise foi realizada.</w:t>
      </w:r>
    </w:p>
    <w:p w14:paraId="6146C3DC" w14:textId="77777777" w:rsidR="00FD7D45" w:rsidRPr="00136CA2" w:rsidRDefault="00FD7D45" w:rsidP="00586858">
      <w:pPr>
        <w:pStyle w:val="PargrafodaLista"/>
        <w:numPr>
          <w:ilvl w:val="0"/>
          <w:numId w:val="1"/>
        </w:numPr>
        <w:spacing w:before="60" w:after="120" w:line="360" w:lineRule="auto"/>
        <w:rPr>
          <w:rFonts w:asciiTheme="minorHAnsi" w:hAnsiTheme="minorHAnsi" w:cstheme="minorHAnsi"/>
          <w:sz w:val="24"/>
          <w:szCs w:val="24"/>
        </w:rPr>
      </w:pPr>
      <w:r w:rsidRPr="00136CA2">
        <w:rPr>
          <w:rFonts w:asciiTheme="minorHAnsi" w:hAnsiTheme="minorHAnsi" w:cstheme="minorHAnsi"/>
          <w:sz w:val="24"/>
          <w:szCs w:val="24"/>
        </w:rPr>
        <w:t>os riscos residuais, sua classificação, sua categora, tipo de resposta aprovada.</w:t>
      </w:r>
    </w:p>
    <w:p w14:paraId="72D4A875" w14:textId="0412C98F" w:rsidR="00FD7D45" w:rsidRDefault="00FD7D45" w:rsidP="00586858">
      <w:pPr>
        <w:pStyle w:val="PargrafodaLista"/>
        <w:numPr>
          <w:ilvl w:val="0"/>
          <w:numId w:val="1"/>
        </w:numPr>
        <w:spacing w:before="60" w:after="120" w:line="360" w:lineRule="auto"/>
        <w:rPr>
          <w:sz w:val="24"/>
          <w:szCs w:val="24"/>
        </w:rPr>
      </w:pPr>
      <w:r w:rsidRPr="00136CA2">
        <w:rPr>
          <w:rFonts w:asciiTheme="minorHAnsi" w:hAnsiTheme="minorHAnsi" w:cstheme="minorHAnsi"/>
          <w:sz w:val="24"/>
          <w:szCs w:val="24"/>
        </w:rPr>
        <w:t>as ações propostas, como serão implementadas, os responsaveis e partes relacionadas (intervenientes), datas de início e fim</w:t>
      </w:r>
      <w:r w:rsidRPr="00F15ACB">
        <w:rPr>
          <w:sz w:val="24"/>
          <w:szCs w:val="24"/>
        </w:rPr>
        <w:t>.</w:t>
      </w:r>
    </w:p>
    <w:p w14:paraId="5FCB16D7" w14:textId="011BFD47" w:rsidR="006A0E3E" w:rsidRDefault="006A0E3E" w:rsidP="006A0E3E">
      <w:pPr>
        <w:spacing w:before="240" w:after="120" w:line="360" w:lineRule="auto"/>
        <w:jc w:val="center"/>
        <w:rPr>
          <w:sz w:val="24"/>
          <w:szCs w:val="24"/>
        </w:rPr>
      </w:pPr>
      <w:r w:rsidRPr="006A0E3E">
        <w:rPr>
          <w:rFonts w:ascii="Calibri" w:hAnsi="Calibri" w:cs="Calibri"/>
          <w:sz w:val="24"/>
          <w:szCs w:val="24"/>
        </w:rPr>
        <w:t xml:space="preserve">Figura </w:t>
      </w:r>
      <w:r w:rsidR="000734AF">
        <w:rPr>
          <w:rFonts w:ascii="Calibri" w:hAnsi="Calibri" w:cs="Calibri"/>
          <w:sz w:val="24"/>
          <w:szCs w:val="24"/>
        </w:rPr>
        <w:t>9</w:t>
      </w:r>
      <w:r w:rsidRPr="006A0E3E">
        <w:rPr>
          <w:rFonts w:ascii="Calibri" w:hAnsi="Calibri" w:cs="Calibri"/>
          <w:sz w:val="24"/>
          <w:szCs w:val="24"/>
        </w:rPr>
        <w:t xml:space="preserve"> – </w:t>
      </w:r>
      <w:r>
        <w:rPr>
          <w:rFonts w:ascii="Calibri" w:hAnsi="Calibri" w:cs="Calibri"/>
          <w:sz w:val="24"/>
          <w:szCs w:val="24"/>
        </w:rPr>
        <w:t>Plano de Respostas aos Riscos</w:t>
      </w:r>
    </w:p>
    <w:p w14:paraId="634F9307" w14:textId="1D08E6E7" w:rsidR="00FD7D45" w:rsidRPr="00BB2CB1" w:rsidRDefault="00D7732C" w:rsidP="00FD7D45">
      <w:pPr>
        <w:spacing w:before="60" w:after="120" w:line="360" w:lineRule="auto"/>
        <w:rPr>
          <w:sz w:val="24"/>
          <w:szCs w:val="24"/>
        </w:rPr>
      </w:pPr>
      <w:r w:rsidRPr="00D7732C">
        <w:rPr>
          <w:noProof/>
          <w:sz w:val="24"/>
          <w:szCs w:val="24"/>
        </w:rPr>
        <w:drawing>
          <wp:inline distT="0" distB="0" distL="0" distR="0" wp14:anchorId="4D4B575C" wp14:editId="1C774694">
            <wp:extent cx="5759450" cy="161544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450" cy="1615440"/>
                    </a:xfrm>
                    <a:prstGeom prst="rect">
                      <a:avLst/>
                    </a:prstGeom>
                    <a:noFill/>
                    <a:ln>
                      <a:noFill/>
                    </a:ln>
                  </pic:spPr>
                </pic:pic>
              </a:graphicData>
            </a:graphic>
          </wp:inline>
        </w:drawing>
      </w:r>
    </w:p>
    <w:p w14:paraId="74BABA0D" w14:textId="41F95CD5" w:rsidR="00FD7D45" w:rsidRPr="00136CA2" w:rsidRDefault="00FD7D45" w:rsidP="00FD7D45">
      <w:pPr>
        <w:spacing w:before="60" w:after="120" w:line="360" w:lineRule="auto"/>
        <w:ind w:firstLine="720"/>
        <w:jc w:val="both"/>
        <w:rPr>
          <w:sz w:val="24"/>
          <w:szCs w:val="24"/>
        </w:rPr>
      </w:pPr>
      <w:r w:rsidRPr="00136CA2">
        <w:rPr>
          <w:sz w:val="24"/>
          <w:szCs w:val="24"/>
        </w:rPr>
        <w:t>O Plano de Resposta aos Riscos é individualizado por Unidade</w:t>
      </w:r>
      <w:r w:rsidR="00D7732C">
        <w:rPr>
          <w:sz w:val="24"/>
          <w:szCs w:val="24"/>
        </w:rPr>
        <w:t xml:space="preserve">, devendo </w:t>
      </w:r>
      <w:r w:rsidRPr="00136CA2">
        <w:rPr>
          <w:sz w:val="24"/>
          <w:szCs w:val="24"/>
        </w:rPr>
        <w:t>ser proposto pelos Gestores de Processos, analisado pelas Unidades de Gestão de Riscos e Integridade e aprovado pelo seu dirigente máximo. Após aprovado</w:t>
      </w:r>
      <w:r w:rsidR="00D7732C">
        <w:rPr>
          <w:sz w:val="24"/>
          <w:szCs w:val="24"/>
        </w:rPr>
        <w:t xml:space="preserve"> o Plano da Unidade</w:t>
      </w:r>
      <w:r w:rsidRPr="00136CA2">
        <w:rPr>
          <w:sz w:val="24"/>
          <w:szCs w:val="24"/>
        </w:rPr>
        <w:t>, deverá ser encaminhado à Diretoria de Integridade para consolidação</w:t>
      </w:r>
      <w:r w:rsidR="00D23DCE">
        <w:rPr>
          <w:sz w:val="24"/>
          <w:szCs w:val="24"/>
        </w:rPr>
        <w:t xml:space="preserve"> e</w:t>
      </w:r>
      <w:r w:rsidRPr="00136CA2">
        <w:rPr>
          <w:sz w:val="24"/>
          <w:szCs w:val="24"/>
        </w:rPr>
        <w:t xml:space="preserve"> análise</w:t>
      </w:r>
      <w:r w:rsidR="00D23DCE">
        <w:rPr>
          <w:sz w:val="24"/>
          <w:szCs w:val="24"/>
        </w:rPr>
        <w:t>,</w:t>
      </w:r>
      <w:r w:rsidRPr="00136CA2">
        <w:rPr>
          <w:sz w:val="24"/>
          <w:szCs w:val="24"/>
        </w:rPr>
        <w:t xml:space="preserve"> de forma segregada</w:t>
      </w:r>
      <w:r w:rsidR="00D7732C">
        <w:rPr>
          <w:sz w:val="24"/>
          <w:szCs w:val="24"/>
        </w:rPr>
        <w:t>,</w:t>
      </w:r>
      <w:r w:rsidRPr="00136CA2">
        <w:rPr>
          <w:sz w:val="24"/>
          <w:szCs w:val="24"/>
        </w:rPr>
        <w:t xml:space="preserve"> </w:t>
      </w:r>
      <w:r w:rsidR="00D23DCE">
        <w:rPr>
          <w:sz w:val="24"/>
          <w:szCs w:val="24"/>
        </w:rPr>
        <w:t xml:space="preserve">para </w:t>
      </w:r>
      <w:r w:rsidR="00D7732C" w:rsidRPr="00136CA2">
        <w:rPr>
          <w:sz w:val="24"/>
          <w:szCs w:val="24"/>
        </w:rPr>
        <w:t>subm</w:t>
      </w:r>
      <w:r w:rsidR="00D7732C">
        <w:rPr>
          <w:sz w:val="24"/>
          <w:szCs w:val="24"/>
        </w:rPr>
        <w:t>issão ao</w:t>
      </w:r>
      <w:r w:rsidRPr="00136CA2">
        <w:rPr>
          <w:sz w:val="24"/>
          <w:szCs w:val="24"/>
        </w:rPr>
        <w:t xml:space="preserve"> Comitê de Gestão de Riscos para aprovação.</w:t>
      </w:r>
      <w:bookmarkStart w:id="22" w:name="_TOC_250005"/>
      <w:bookmarkStart w:id="23" w:name="_bookmark6"/>
      <w:bookmarkEnd w:id="22"/>
      <w:bookmarkEnd w:id="23"/>
    </w:p>
    <w:p w14:paraId="2A2B4F34" w14:textId="77777777" w:rsidR="00143388" w:rsidRDefault="00143388" w:rsidP="00FD7D45">
      <w:pPr>
        <w:spacing w:before="60" w:after="120" w:line="360" w:lineRule="auto"/>
        <w:ind w:firstLine="720"/>
        <w:jc w:val="both"/>
        <w:rPr>
          <w:sz w:val="24"/>
          <w:szCs w:val="24"/>
        </w:rPr>
      </w:pPr>
    </w:p>
    <w:p w14:paraId="3A807557" w14:textId="19BEA66E" w:rsidR="00FD7D45" w:rsidRPr="00143388" w:rsidRDefault="00FD7D45" w:rsidP="00586858">
      <w:pPr>
        <w:pStyle w:val="Ttulo1"/>
        <w:numPr>
          <w:ilvl w:val="1"/>
          <w:numId w:val="4"/>
        </w:numPr>
        <w:spacing w:before="120" w:after="120"/>
        <w:rPr>
          <w:rFonts w:asciiTheme="minorHAnsi" w:hAnsiTheme="minorHAnsi" w:cstheme="minorHAnsi"/>
          <w:sz w:val="26"/>
          <w:szCs w:val="26"/>
        </w:rPr>
      </w:pPr>
      <w:bookmarkStart w:id="24" w:name="_Toc74468867"/>
      <w:r w:rsidRPr="00143388">
        <w:rPr>
          <w:rFonts w:asciiTheme="minorHAnsi" w:hAnsiTheme="minorHAnsi" w:cstheme="minorHAnsi"/>
          <w:sz w:val="26"/>
          <w:szCs w:val="26"/>
        </w:rPr>
        <w:t>Monitoramento e Análise Crítica</w:t>
      </w:r>
      <w:bookmarkEnd w:id="24"/>
    </w:p>
    <w:p w14:paraId="6D2264BE" w14:textId="77777777" w:rsidR="00FD7D45" w:rsidRDefault="00FD7D45" w:rsidP="00FD7D45">
      <w:pPr>
        <w:spacing w:before="60" w:after="120" w:line="360" w:lineRule="auto"/>
        <w:ind w:firstLine="720"/>
        <w:jc w:val="both"/>
        <w:rPr>
          <w:sz w:val="24"/>
          <w:szCs w:val="24"/>
        </w:rPr>
      </w:pPr>
    </w:p>
    <w:p w14:paraId="5B7FBA91" w14:textId="5C040ABD" w:rsidR="00FD7D45" w:rsidRDefault="00FD7D45" w:rsidP="00FD7D45">
      <w:pPr>
        <w:spacing w:before="60" w:after="120" w:line="360" w:lineRule="auto"/>
        <w:ind w:firstLine="720"/>
        <w:jc w:val="both"/>
        <w:rPr>
          <w:sz w:val="24"/>
          <w:szCs w:val="24"/>
        </w:rPr>
      </w:pPr>
      <w:r>
        <w:rPr>
          <w:sz w:val="24"/>
          <w:szCs w:val="24"/>
        </w:rPr>
        <w:t xml:space="preserve">O </w:t>
      </w:r>
      <w:r w:rsidRPr="00C84DFC">
        <w:rPr>
          <w:sz w:val="24"/>
          <w:szCs w:val="24"/>
        </w:rPr>
        <w:t xml:space="preserve">propósito </w:t>
      </w:r>
      <w:r>
        <w:rPr>
          <w:sz w:val="24"/>
          <w:szCs w:val="24"/>
        </w:rPr>
        <w:t>do m</w:t>
      </w:r>
      <w:r w:rsidRPr="00C84DFC">
        <w:rPr>
          <w:sz w:val="24"/>
          <w:szCs w:val="24"/>
        </w:rPr>
        <w:t xml:space="preserve">onitoramento e análise crítica é assegurar e melhorar a qualidade e </w:t>
      </w:r>
      <w:r>
        <w:rPr>
          <w:sz w:val="24"/>
          <w:szCs w:val="24"/>
        </w:rPr>
        <w:t xml:space="preserve">a </w:t>
      </w:r>
      <w:r w:rsidRPr="00C84DFC">
        <w:rPr>
          <w:sz w:val="24"/>
          <w:szCs w:val="24"/>
        </w:rPr>
        <w:t>eficácia da concepção, implementação e dos resultados do processo de g</w:t>
      </w:r>
      <w:r>
        <w:rPr>
          <w:sz w:val="24"/>
          <w:szCs w:val="24"/>
        </w:rPr>
        <w:t xml:space="preserve">erenciamento </w:t>
      </w:r>
      <w:r w:rsidRPr="00C84DFC">
        <w:rPr>
          <w:sz w:val="24"/>
          <w:szCs w:val="24"/>
        </w:rPr>
        <w:t>de riscos, com responsabilidades claramente estabelecidas.</w:t>
      </w:r>
    </w:p>
    <w:p w14:paraId="4E253C18" w14:textId="452DE40E" w:rsidR="00FD7D45" w:rsidRDefault="00FD7D45" w:rsidP="00FD7D45">
      <w:pPr>
        <w:spacing w:before="60" w:after="120" w:line="360" w:lineRule="auto"/>
        <w:ind w:firstLine="720"/>
        <w:jc w:val="both"/>
        <w:rPr>
          <w:sz w:val="24"/>
          <w:szCs w:val="24"/>
        </w:rPr>
      </w:pPr>
      <w:r>
        <w:rPr>
          <w:sz w:val="24"/>
          <w:szCs w:val="24"/>
        </w:rPr>
        <w:t xml:space="preserve">Compreende o acompanhamento e a verificação do </w:t>
      </w:r>
      <w:r w:rsidR="00883017">
        <w:rPr>
          <w:sz w:val="24"/>
          <w:szCs w:val="24"/>
        </w:rPr>
        <w:t xml:space="preserve">resultado do </w:t>
      </w:r>
      <w:r>
        <w:rPr>
          <w:sz w:val="24"/>
          <w:szCs w:val="24"/>
        </w:rPr>
        <w:t>desempenho ou d</w:t>
      </w:r>
      <w:r w:rsidR="00883017">
        <w:rPr>
          <w:sz w:val="24"/>
          <w:szCs w:val="24"/>
        </w:rPr>
        <w:t>o</w:t>
      </w:r>
      <w:r>
        <w:rPr>
          <w:sz w:val="24"/>
          <w:szCs w:val="24"/>
        </w:rPr>
        <w:t xml:space="preserve"> </w:t>
      </w:r>
      <w:r w:rsidR="00883017">
        <w:rPr>
          <w:sz w:val="24"/>
          <w:szCs w:val="24"/>
        </w:rPr>
        <w:t>estágio</w:t>
      </w:r>
      <w:r>
        <w:rPr>
          <w:sz w:val="24"/>
          <w:szCs w:val="24"/>
        </w:rPr>
        <w:t xml:space="preserve"> do gerenciamento de riscos</w:t>
      </w:r>
      <w:r w:rsidR="00DF48C1">
        <w:rPr>
          <w:sz w:val="24"/>
          <w:szCs w:val="24"/>
        </w:rPr>
        <w:t xml:space="preserve"> (</w:t>
      </w:r>
      <w:r w:rsidR="00883017">
        <w:rPr>
          <w:sz w:val="24"/>
          <w:szCs w:val="24"/>
        </w:rPr>
        <w:t xml:space="preserve">cumprimento </w:t>
      </w:r>
      <w:r>
        <w:rPr>
          <w:sz w:val="24"/>
          <w:szCs w:val="24"/>
        </w:rPr>
        <w:t>do Plano de Gestão de Riscos e do Plano de Respostas aos Riscos</w:t>
      </w:r>
      <w:r w:rsidR="00DF48C1">
        <w:rPr>
          <w:sz w:val="24"/>
          <w:szCs w:val="24"/>
        </w:rPr>
        <w:t>)</w:t>
      </w:r>
      <w:r w:rsidR="00883017">
        <w:rPr>
          <w:sz w:val="24"/>
          <w:szCs w:val="24"/>
        </w:rPr>
        <w:t xml:space="preserve">. </w:t>
      </w:r>
      <w:r>
        <w:rPr>
          <w:sz w:val="24"/>
          <w:szCs w:val="24"/>
        </w:rPr>
        <w:t xml:space="preserve">Com um processo mais maduro </w:t>
      </w:r>
      <w:r w:rsidR="00DF48C1">
        <w:rPr>
          <w:sz w:val="24"/>
          <w:szCs w:val="24"/>
        </w:rPr>
        <w:t>será</w:t>
      </w:r>
      <w:r>
        <w:rPr>
          <w:sz w:val="24"/>
          <w:szCs w:val="24"/>
        </w:rPr>
        <w:t xml:space="preserve"> </w:t>
      </w:r>
      <w:r w:rsidR="00437859">
        <w:rPr>
          <w:sz w:val="24"/>
          <w:szCs w:val="24"/>
        </w:rPr>
        <w:t>possível</w:t>
      </w:r>
      <w:r>
        <w:rPr>
          <w:sz w:val="24"/>
          <w:szCs w:val="24"/>
        </w:rPr>
        <w:t>, inclusive, verificar a evolução dos níveis dos riscos.</w:t>
      </w:r>
    </w:p>
    <w:p w14:paraId="057F4262" w14:textId="56CE6A4F" w:rsidR="00FD7D45" w:rsidRDefault="00FD7D45" w:rsidP="00FD7D45">
      <w:pPr>
        <w:spacing w:before="60" w:after="120" w:line="360" w:lineRule="auto"/>
        <w:ind w:firstLine="720"/>
        <w:jc w:val="both"/>
        <w:rPr>
          <w:sz w:val="24"/>
          <w:szCs w:val="24"/>
        </w:rPr>
      </w:pPr>
      <w:r>
        <w:rPr>
          <w:sz w:val="24"/>
          <w:szCs w:val="24"/>
        </w:rPr>
        <w:t>O monitoramento e análise crítica caberá a cada instância,</w:t>
      </w:r>
      <w:r w:rsidR="00DF48C1">
        <w:rPr>
          <w:sz w:val="24"/>
          <w:szCs w:val="24"/>
        </w:rPr>
        <w:t xml:space="preserve"> cujos papéis e responsabilidades estão previstos na Política de Gestão de Riscos, </w:t>
      </w:r>
      <w:r>
        <w:rPr>
          <w:sz w:val="24"/>
          <w:szCs w:val="24"/>
        </w:rPr>
        <w:t>ou seja, ao Gestor do Processo, à Unidade de Gestão de Riscos</w:t>
      </w:r>
      <w:r w:rsidR="00437859">
        <w:rPr>
          <w:sz w:val="24"/>
          <w:szCs w:val="24"/>
        </w:rPr>
        <w:t xml:space="preserve"> e Integridade</w:t>
      </w:r>
      <w:r>
        <w:rPr>
          <w:sz w:val="24"/>
          <w:szCs w:val="24"/>
        </w:rPr>
        <w:t xml:space="preserve"> e à Diretoria de Integridade, de forma contínua ou periódica, considerando o </w:t>
      </w:r>
      <w:r w:rsidR="00DF48C1">
        <w:rPr>
          <w:sz w:val="24"/>
          <w:szCs w:val="24"/>
        </w:rPr>
        <w:t xml:space="preserve">os </w:t>
      </w:r>
      <w:r>
        <w:rPr>
          <w:sz w:val="24"/>
          <w:szCs w:val="24"/>
        </w:rPr>
        <w:t>prazos previstos nos documentos.</w:t>
      </w:r>
    </w:p>
    <w:p w14:paraId="47D13935" w14:textId="68D42D5B" w:rsidR="00735364" w:rsidRDefault="00735364" w:rsidP="00735364">
      <w:pPr>
        <w:spacing w:before="60" w:after="120" w:line="360" w:lineRule="auto"/>
        <w:jc w:val="center"/>
        <w:rPr>
          <w:sz w:val="24"/>
          <w:szCs w:val="24"/>
        </w:rPr>
      </w:pPr>
      <w:r>
        <w:rPr>
          <w:noProof/>
          <w:sz w:val="24"/>
          <w:szCs w:val="24"/>
        </w:rPr>
        <w:t xml:space="preserve">Quadro </w:t>
      </w:r>
      <w:r>
        <w:rPr>
          <w:noProof/>
          <w:sz w:val="24"/>
          <w:szCs w:val="24"/>
        </w:rPr>
        <w:t>4</w:t>
      </w:r>
      <w:r w:rsidRPr="00C27674">
        <w:rPr>
          <w:noProof/>
          <w:sz w:val="24"/>
          <w:szCs w:val="24"/>
        </w:rPr>
        <w:t xml:space="preserve">: </w:t>
      </w:r>
      <w:r>
        <w:rPr>
          <w:noProof/>
          <w:sz w:val="24"/>
          <w:szCs w:val="24"/>
        </w:rPr>
        <w:t>Monitoramento e Comunicação</w:t>
      </w:r>
    </w:p>
    <w:p w14:paraId="7E225F06" w14:textId="576A86D0" w:rsidR="00FD7D45" w:rsidRDefault="00CE6E83" w:rsidP="00FD7D45">
      <w:pPr>
        <w:spacing w:before="60" w:after="120" w:line="360" w:lineRule="auto"/>
        <w:jc w:val="both"/>
        <w:rPr>
          <w:sz w:val="24"/>
          <w:szCs w:val="24"/>
        </w:rPr>
      </w:pPr>
      <w:r w:rsidRPr="00CE6E83">
        <w:rPr>
          <w:noProof/>
        </w:rPr>
        <w:drawing>
          <wp:inline distT="0" distB="0" distL="0" distR="0" wp14:anchorId="0D99AC9E" wp14:editId="156B80F5">
            <wp:extent cx="5811520" cy="3581742"/>
            <wp:effectExtent l="0" t="0" r="0"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22558" cy="3588545"/>
                    </a:xfrm>
                    <a:prstGeom prst="rect">
                      <a:avLst/>
                    </a:prstGeom>
                    <a:noFill/>
                    <a:ln>
                      <a:noFill/>
                    </a:ln>
                  </pic:spPr>
                </pic:pic>
              </a:graphicData>
            </a:graphic>
          </wp:inline>
        </w:drawing>
      </w:r>
    </w:p>
    <w:p w14:paraId="07A45694" w14:textId="520CD9BB" w:rsidR="00FD7D45" w:rsidRDefault="00FD7D45" w:rsidP="00FD7D45">
      <w:pPr>
        <w:spacing w:before="60" w:after="120" w:line="360" w:lineRule="auto"/>
        <w:ind w:firstLine="720"/>
        <w:jc w:val="both"/>
      </w:pPr>
      <w:r w:rsidRPr="00D02AF7">
        <w:rPr>
          <w:sz w:val="24"/>
          <w:szCs w:val="24"/>
        </w:rPr>
        <w:t>O resultado do monitoramento</w:t>
      </w:r>
      <w:r w:rsidR="00CE6E83">
        <w:rPr>
          <w:sz w:val="24"/>
          <w:szCs w:val="24"/>
        </w:rPr>
        <w:t xml:space="preserve"> e análise crítica serão r</w:t>
      </w:r>
      <w:r>
        <w:rPr>
          <w:sz w:val="24"/>
          <w:szCs w:val="24"/>
        </w:rPr>
        <w:t>eportado</w:t>
      </w:r>
      <w:r w:rsidR="00CE6E83">
        <w:rPr>
          <w:sz w:val="24"/>
          <w:szCs w:val="24"/>
        </w:rPr>
        <w:t>s</w:t>
      </w:r>
      <w:r>
        <w:rPr>
          <w:sz w:val="24"/>
          <w:szCs w:val="24"/>
        </w:rPr>
        <w:t xml:space="preserve">, anualmente, pela </w:t>
      </w:r>
      <w:r w:rsidRPr="00D02AF7">
        <w:rPr>
          <w:sz w:val="24"/>
          <w:szCs w:val="24"/>
        </w:rPr>
        <w:t xml:space="preserve">Diretoria de Integridade </w:t>
      </w:r>
      <w:r>
        <w:rPr>
          <w:sz w:val="24"/>
          <w:szCs w:val="24"/>
        </w:rPr>
        <w:t>ao Comitê de Gestão de Riscos para análise e encaminhamento para apreciação do Comitê Interno de Governança.</w:t>
      </w:r>
      <w:r w:rsidRPr="00FF49B6">
        <w:t xml:space="preserve"> </w:t>
      </w:r>
    </w:p>
    <w:p w14:paraId="5209B512" w14:textId="77777777" w:rsidR="00CE6E83" w:rsidRDefault="00CE6E83" w:rsidP="00FD7D45">
      <w:pPr>
        <w:spacing w:before="60" w:after="120" w:line="360" w:lineRule="auto"/>
        <w:ind w:firstLine="720"/>
        <w:jc w:val="both"/>
      </w:pPr>
    </w:p>
    <w:p w14:paraId="469A26BC" w14:textId="0372700E" w:rsidR="00FD7D45" w:rsidRPr="00143388" w:rsidRDefault="00FD7D45" w:rsidP="00586858">
      <w:pPr>
        <w:pStyle w:val="Ttulo1"/>
        <w:numPr>
          <w:ilvl w:val="1"/>
          <w:numId w:val="4"/>
        </w:numPr>
        <w:spacing w:before="120" w:after="120"/>
        <w:rPr>
          <w:rFonts w:asciiTheme="minorHAnsi" w:hAnsiTheme="minorHAnsi" w:cstheme="minorHAnsi"/>
          <w:sz w:val="26"/>
          <w:szCs w:val="26"/>
        </w:rPr>
      </w:pPr>
      <w:bookmarkStart w:id="25" w:name="_Toc74468868"/>
      <w:r w:rsidRPr="00143388">
        <w:rPr>
          <w:rFonts w:asciiTheme="minorHAnsi" w:hAnsiTheme="minorHAnsi" w:cstheme="minorHAnsi"/>
          <w:sz w:val="26"/>
          <w:szCs w:val="26"/>
        </w:rPr>
        <w:t>Relato e Comunicação</w:t>
      </w:r>
      <w:bookmarkEnd w:id="25"/>
    </w:p>
    <w:p w14:paraId="22CCD244" w14:textId="77777777" w:rsidR="00FD7D45" w:rsidRDefault="00FD7D45" w:rsidP="00FD7D45">
      <w:pPr>
        <w:spacing w:before="60" w:after="120" w:line="360" w:lineRule="auto"/>
        <w:ind w:firstLine="720"/>
        <w:jc w:val="both"/>
      </w:pPr>
    </w:p>
    <w:p w14:paraId="26AB379F" w14:textId="1D50AD85" w:rsidR="00FD7D45" w:rsidRPr="00136CA2" w:rsidRDefault="00136CA2" w:rsidP="00FD7D45">
      <w:pPr>
        <w:spacing w:before="60" w:after="120" w:line="360" w:lineRule="auto"/>
        <w:ind w:firstLine="720"/>
        <w:jc w:val="both"/>
        <w:rPr>
          <w:rFonts w:ascii="Calibri" w:hAnsi="Calibri" w:cs="Calibri"/>
          <w:sz w:val="24"/>
          <w:szCs w:val="24"/>
        </w:rPr>
      </w:pPr>
      <w:r w:rsidRPr="00136CA2">
        <w:rPr>
          <w:rFonts w:ascii="Calibri" w:hAnsi="Calibri" w:cs="Calibri"/>
          <w:sz w:val="24"/>
          <w:szCs w:val="24"/>
        </w:rPr>
        <w:t>Consiste em</w:t>
      </w:r>
      <w:r w:rsidR="00FD7D45" w:rsidRPr="00136CA2">
        <w:rPr>
          <w:rFonts w:ascii="Calibri" w:hAnsi="Calibri" w:cs="Calibri"/>
          <w:sz w:val="24"/>
          <w:szCs w:val="24"/>
        </w:rPr>
        <w:t xml:space="preserve"> relatar o processo de gerenciamento e riscos e os seus resultados</w:t>
      </w:r>
      <w:r w:rsidR="00E80EA8">
        <w:rPr>
          <w:rFonts w:ascii="Calibri" w:hAnsi="Calibri" w:cs="Calibri"/>
          <w:sz w:val="24"/>
          <w:szCs w:val="24"/>
        </w:rPr>
        <w:t xml:space="preserve"> para</w:t>
      </w:r>
      <w:r w:rsidR="00FD7D45" w:rsidRPr="00136CA2">
        <w:rPr>
          <w:rFonts w:ascii="Calibri" w:hAnsi="Calibri" w:cs="Calibri"/>
          <w:sz w:val="24"/>
          <w:szCs w:val="24"/>
        </w:rPr>
        <w:t xml:space="preserve"> fornecer informações à tomada de decisão, melhoria do processo, entre outros.</w:t>
      </w:r>
    </w:p>
    <w:p w14:paraId="11819C17" w14:textId="77777777" w:rsidR="00FD7D45" w:rsidRPr="00136CA2" w:rsidRDefault="00FD7D45" w:rsidP="00FD7D45">
      <w:pPr>
        <w:spacing w:before="60" w:after="120" w:line="360" w:lineRule="auto"/>
        <w:ind w:firstLine="720"/>
        <w:jc w:val="both"/>
        <w:rPr>
          <w:rFonts w:ascii="Calibri" w:hAnsi="Calibri" w:cs="Calibri"/>
          <w:sz w:val="24"/>
          <w:szCs w:val="24"/>
        </w:rPr>
      </w:pPr>
      <w:r w:rsidRPr="00136CA2">
        <w:rPr>
          <w:rFonts w:ascii="Calibri" w:hAnsi="Calibri" w:cs="Calibri"/>
          <w:sz w:val="24"/>
          <w:szCs w:val="24"/>
        </w:rPr>
        <w:t>Segundo a Norma ABNT NBR ISO 31000:2018, o processo de gestão de riscos e seus resultados devem ser documentados e comunicados por meio de mecanismos apropriados. A documentação e a comunicação visam: (a) comunicar atividades e resultados de gestão de riscos em toda a organização; (b) fornecer informações para a tomada de decisão; (c) melhorar as atividades de gestão de riscos; e (e) auxiliar a interação com as partes interessadas, incluindo aquelas com responsabilidade e com responsabilização por atividades de gerenciamento dos riscos.</w:t>
      </w:r>
    </w:p>
    <w:p w14:paraId="344DE337" w14:textId="77777777" w:rsidR="00FD7D45" w:rsidRPr="00136CA2" w:rsidRDefault="00FD7D45" w:rsidP="00FD7D45">
      <w:pPr>
        <w:spacing w:before="60" w:after="120" w:line="360" w:lineRule="auto"/>
        <w:ind w:firstLine="720"/>
        <w:jc w:val="both"/>
        <w:rPr>
          <w:rFonts w:ascii="Calibri" w:hAnsi="Calibri" w:cs="Calibri"/>
          <w:sz w:val="24"/>
          <w:szCs w:val="24"/>
        </w:rPr>
      </w:pPr>
      <w:r w:rsidRPr="00136CA2">
        <w:rPr>
          <w:rFonts w:ascii="Calibri" w:hAnsi="Calibri" w:cs="Calibri"/>
          <w:sz w:val="24"/>
          <w:szCs w:val="24"/>
        </w:rPr>
        <w:t>O registro e comunicação, devem ocorrer durante todas as etapas do processo de gerenciamento de riscos, devem atingir todas as partes interessadas, devendo ser realizada de maneira clara e objetiva. É importante obter o adequado nível de profundidade, o canal a ser utilizado e a pontualidade da informação.</w:t>
      </w:r>
    </w:p>
    <w:p w14:paraId="2B128C0C" w14:textId="295C5A3B" w:rsidR="00FD7D45" w:rsidRDefault="00FD7D45" w:rsidP="00FD7D45">
      <w:pPr>
        <w:spacing w:before="60" w:after="120" w:line="360" w:lineRule="auto"/>
        <w:ind w:firstLine="720"/>
        <w:jc w:val="both"/>
        <w:rPr>
          <w:rFonts w:ascii="Calibri" w:hAnsi="Calibri" w:cs="Calibri"/>
          <w:sz w:val="24"/>
          <w:szCs w:val="24"/>
        </w:rPr>
      </w:pPr>
      <w:r w:rsidRPr="00136CA2">
        <w:rPr>
          <w:rFonts w:ascii="Calibri" w:hAnsi="Calibri" w:cs="Calibri"/>
          <w:sz w:val="24"/>
          <w:szCs w:val="24"/>
        </w:rPr>
        <w:t xml:space="preserve">A comunicação, por meio de reporte, deverá ser parte integrante da governança, pois aprimora a troca de informações entre as unidades e as partes interessadas, apoia a alta administração e </w:t>
      </w:r>
      <w:r w:rsidR="00D17C6D">
        <w:rPr>
          <w:rFonts w:ascii="Calibri" w:hAnsi="Calibri" w:cs="Calibri"/>
          <w:sz w:val="24"/>
          <w:szCs w:val="24"/>
        </w:rPr>
        <w:t xml:space="preserve">as demais instâncias de governança </w:t>
      </w:r>
      <w:r w:rsidRPr="00136CA2">
        <w:rPr>
          <w:rFonts w:ascii="Calibri" w:hAnsi="Calibri" w:cs="Calibri"/>
          <w:sz w:val="24"/>
          <w:szCs w:val="24"/>
        </w:rPr>
        <w:t xml:space="preserve">no cumprimento de suas responsabilidades. </w:t>
      </w:r>
    </w:p>
    <w:p w14:paraId="56FE47D9" w14:textId="21C37BAB" w:rsidR="007C2AB0" w:rsidRPr="00136CA2" w:rsidRDefault="007C2AB0" w:rsidP="007C2AB0">
      <w:pPr>
        <w:spacing w:before="60" w:after="120" w:line="360" w:lineRule="auto"/>
        <w:jc w:val="center"/>
        <w:rPr>
          <w:rFonts w:ascii="Calibri" w:hAnsi="Calibri" w:cs="Calibri"/>
          <w:sz w:val="24"/>
          <w:szCs w:val="24"/>
        </w:rPr>
      </w:pPr>
      <w:r>
        <w:rPr>
          <w:noProof/>
          <w:sz w:val="24"/>
          <w:szCs w:val="24"/>
        </w:rPr>
        <w:t xml:space="preserve">Quadro </w:t>
      </w:r>
      <w:r>
        <w:rPr>
          <w:noProof/>
          <w:sz w:val="24"/>
          <w:szCs w:val="24"/>
        </w:rPr>
        <w:t>5</w:t>
      </w:r>
      <w:r w:rsidRPr="00C27674">
        <w:rPr>
          <w:noProof/>
          <w:sz w:val="24"/>
          <w:szCs w:val="24"/>
        </w:rPr>
        <w:t xml:space="preserve">: </w:t>
      </w:r>
      <w:r>
        <w:rPr>
          <w:noProof/>
          <w:sz w:val="24"/>
          <w:szCs w:val="24"/>
        </w:rPr>
        <w:t>Monitoramento e Comunicação</w:t>
      </w:r>
    </w:p>
    <w:p w14:paraId="019384C0" w14:textId="26C5F1AD" w:rsidR="00FD7D45" w:rsidRDefault="00D17C6D" w:rsidP="00FD7D45">
      <w:pPr>
        <w:spacing w:before="60" w:after="120" w:line="360" w:lineRule="auto"/>
        <w:jc w:val="both"/>
        <w:rPr>
          <w:sz w:val="24"/>
          <w:szCs w:val="24"/>
        </w:rPr>
      </w:pPr>
      <w:r w:rsidRPr="00D17C6D">
        <w:rPr>
          <w:noProof/>
          <w:sz w:val="24"/>
          <w:szCs w:val="24"/>
        </w:rPr>
        <w:drawing>
          <wp:inline distT="0" distB="0" distL="0" distR="0" wp14:anchorId="00A150FA" wp14:editId="62F1ED6B">
            <wp:extent cx="5759450" cy="2661920"/>
            <wp:effectExtent l="0" t="0" r="0" b="508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2661920"/>
                    </a:xfrm>
                    <a:prstGeom prst="rect">
                      <a:avLst/>
                    </a:prstGeom>
                    <a:noFill/>
                    <a:ln>
                      <a:noFill/>
                    </a:ln>
                  </pic:spPr>
                </pic:pic>
              </a:graphicData>
            </a:graphic>
          </wp:inline>
        </w:drawing>
      </w:r>
    </w:p>
    <w:p w14:paraId="13586BCE" w14:textId="325BBDD7" w:rsidR="00FD7D45" w:rsidRPr="00136CA2" w:rsidRDefault="00C75347" w:rsidP="00FD7D45">
      <w:pPr>
        <w:spacing w:before="60" w:after="120" w:line="360" w:lineRule="auto"/>
        <w:ind w:firstLine="720"/>
        <w:jc w:val="both"/>
        <w:rPr>
          <w:rFonts w:cstheme="minorHAnsi"/>
          <w:sz w:val="24"/>
          <w:szCs w:val="24"/>
        </w:rPr>
      </w:pPr>
      <w:r>
        <w:rPr>
          <w:rFonts w:cstheme="minorHAnsi"/>
          <w:sz w:val="24"/>
          <w:szCs w:val="24"/>
        </w:rPr>
        <w:t>Um</w:t>
      </w:r>
      <w:r w:rsidR="00FD7D45" w:rsidRPr="00136CA2">
        <w:rPr>
          <w:rFonts w:cstheme="minorHAnsi"/>
          <w:sz w:val="24"/>
          <w:szCs w:val="24"/>
        </w:rPr>
        <w:t xml:space="preserve"> bom reporte inclu</w:t>
      </w:r>
      <w:r>
        <w:rPr>
          <w:rFonts w:cstheme="minorHAnsi"/>
          <w:sz w:val="24"/>
          <w:szCs w:val="24"/>
        </w:rPr>
        <w:t>i,</w:t>
      </w:r>
      <w:r w:rsidR="00FD7D45" w:rsidRPr="00136CA2">
        <w:rPr>
          <w:rFonts w:cstheme="minorHAnsi"/>
          <w:sz w:val="24"/>
          <w:szCs w:val="24"/>
        </w:rPr>
        <w:t xml:space="preserve"> minimamente: (a) as diferentes partes interessadas e suas necessidades específicas de informação e requisitos, (c) custo, frequência e pontualidade do relato, (c) modelo de relato, e (d) pertinência da informação para os objetivos organizacionais e para a tomada de decisão.</w:t>
      </w:r>
    </w:p>
    <w:p w14:paraId="260D3DCE" w14:textId="16D4FD30" w:rsidR="00D17C6D" w:rsidRPr="00DF7563" w:rsidRDefault="00D17C6D" w:rsidP="00D17C6D">
      <w:pPr>
        <w:spacing w:before="60" w:after="120" w:line="360" w:lineRule="auto"/>
        <w:ind w:firstLine="720"/>
        <w:jc w:val="both"/>
        <w:rPr>
          <w:rFonts w:ascii="Calibri" w:hAnsi="Calibri" w:cs="Calibri"/>
          <w:sz w:val="24"/>
          <w:szCs w:val="24"/>
        </w:rPr>
      </w:pPr>
      <w:r w:rsidRPr="00DF7563">
        <w:rPr>
          <w:rFonts w:ascii="Calibri" w:hAnsi="Calibri" w:cs="Calibri"/>
          <w:sz w:val="24"/>
          <w:szCs w:val="24"/>
        </w:rPr>
        <w:t xml:space="preserve">É imprescindível a preparação de relatórios periódicos, assegurando que os resultados reportados cheguem aos interessados. </w:t>
      </w:r>
      <w:r w:rsidR="00C75347" w:rsidRPr="00DF7563">
        <w:rPr>
          <w:rFonts w:ascii="Calibri" w:hAnsi="Calibri" w:cs="Calibri"/>
          <w:sz w:val="24"/>
          <w:szCs w:val="24"/>
        </w:rPr>
        <w:t xml:space="preserve">São </w:t>
      </w:r>
      <w:r w:rsidRPr="00DF7563">
        <w:rPr>
          <w:rFonts w:ascii="Calibri" w:hAnsi="Calibri" w:cs="Calibri"/>
          <w:sz w:val="24"/>
          <w:szCs w:val="24"/>
        </w:rPr>
        <w:t>peças importantes na gestão de riscos e podem ser usados de diversas formas e finalidades, aqui listadas de forma não exaustiva:</w:t>
      </w:r>
    </w:p>
    <w:p w14:paraId="6508C2CD" w14:textId="076FDEA9" w:rsidR="00D17C6D" w:rsidRPr="00DF7563" w:rsidRDefault="00D17C6D" w:rsidP="00586858">
      <w:pPr>
        <w:pStyle w:val="PargrafodaLista"/>
        <w:numPr>
          <w:ilvl w:val="0"/>
          <w:numId w:val="1"/>
        </w:numPr>
        <w:spacing w:before="60" w:after="120" w:line="360" w:lineRule="auto"/>
        <w:rPr>
          <w:rFonts w:ascii="Calibri" w:hAnsi="Calibri" w:cs="Calibri"/>
          <w:sz w:val="24"/>
          <w:szCs w:val="24"/>
        </w:rPr>
      </w:pPr>
      <w:r w:rsidRPr="00DF7563">
        <w:rPr>
          <w:rFonts w:ascii="Calibri" w:hAnsi="Calibri" w:cs="Calibri"/>
          <w:sz w:val="24"/>
          <w:szCs w:val="24"/>
        </w:rPr>
        <w:t>Medir o desempenho do processo de ge</w:t>
      </w:r>
      <w:r w:rsidR="00DF7563" w:rsidRPr="00DF7563">
        <w:rPr>
          <w:rFonts w:ascii="Calibri" w:hAnsi="Calibri" w:cs="Calibri"/>
          <w:sz w:val="24"/>
          <w:szCs w:val="24"/>
        </w:rPr>
        <w:t xml:space="preserve">renciamento </w:t>
      </w:r>
      <w:r w:rsidRPr="00DF7563">
        <w:rPr>
          <w:rFonts w:ascii="Calibri" w:hAnsi="Calibri" w:cs="Calibri"/>
          <w:sz w:val="24"/>
          <w:szCs w:val="24"/>
        </w:rPr>
        <w:t>de riscos;</w:t>
      </w:r>
    </w:p>
    <w:p w14:paraId="1C2630CE" w14:textId="2BE5C0F6" w:rsidR="00D17C6D" w:rsidRPr="00DF7563" w:rsidRDefault="00D17C6D" w:rsidP="00586858">
      <w:pPr>
        <w:pStyle w:val="PargrafodaLista"/>
        <w:numPr>
          <w:ilvl w:val="0"/>
          <w:numId w:val="1"/>
        </w:numPr>
        <w:spacing w:before="60" w:after="120" w:line="360" w:lineRule="auto"/>
        <w:rPr>
          <w:rFonts w:ascii="Calibri" w:hAnsi="Calibri" w:cs="Calibri"/>
          <w:sz w:val="24"/>
          <w:szCs w:val="24"/>
        </w:rPr>
      </w:pPr>
      <w:r w:rsidRPr="00DF7563">
        <w:rPr>
          <w:rFonts w:ascii="Calibri" w:hAnsi="Calibri" w:cs="Calibri"/>
          <w:sz w:val="24"/>
          <w:szCs w:val="24"/>
        </w:rPr>
        <w:t>Emitir alertas quando ações corretivas se fizerem necessárias;</w:t>
      </w:r>
    </w:p>
    <w:p w14:paraId="3140685E" w14:textId="77777777" w:rsidR="00DF7563" w:rsidRPr="00DF7563" w:rsidRDefault="00D17C6D" w:rsidP="00586858">
      <w:pPr>
        <w:pStyle w:val="PargrafodaLista"/>
        <w:numPr>
          <w:ilvl w:val="0"/>
          <w:numId w:val="1"/>
        </w:numPr>
        <w:spacing w:before="60" w:after="120" w:line="360" w:lineRule="auto"/>
        <w:rPr>
          <w:rFonts w:ascii="Calibri" w:hAnsi="Calibri" w:cs="Calibri"/>
          <w:sz w:val="24"/>
          <w:szCs w:val="24"/>
        </w:rPr>
      </w:pPr>
      <w:r w:rsidRPr="00DF7563">
        <w:rPr>
          <w:rFonts w:ascii="Calibri" w:hAnsi="Calibri" w:cs="Calibri"/>
          <w:sz w:val="24"/>
          <w:szCs w:val="24"/>
        </w:rPr>
        <w:t xml:space="preserve">Sinalizar para as Unidades de Gestão de Riscos </w:t>
      </w:r>
      <w:r w:rsidR="00DF7563" w:rsidRPr="00DF7563">
        <w:rPr>
          <w:rFonts w:ascii="Calibri" w:hAnsi="Calibri" w:cs="Calibri"/>
          <w:sz w:val="24"/>
          <w:szCs w:val="24"/>
        </w:rPr>
        <w:t>e Integridade a aos</w:t>
      </w:r>
      <w:r w:rsidRPr="00DF7563">
        <w:rPr>
          <w:rFonts w:ascii="Calibri" w:hAnsi="Calibri" w:cs="Calibri"/>
          <w:sz w:val="24"/>
          <w:szCs w:val="24"/>
        </w:rPr>
        <w:t xml:space="preserve"> Gestores de Processos o estágio do gerenciamento de riscos</w:t>
      </w:r>
      <w:r w:rsidR="00DF7563" w:rsidRPr="00DF7563">
        <w:rPr>
          <w:rFonts w:ascii="Calibri" w:hAnsi="Calibri" w:cs="Calibri"/>
          <w:sz w:val="24"/>
          <w:szCs w:val="24"/>
        </w:rPr>
        <w:t>;</w:t>
      </w:r>
    </w:p>
    <w:p w14:paraId="0E6EB871" w14:textId="5F889447" w:rsidR="00D17C6D" w:rsidRPr="00DF7563" w:rsidRDefault="00D17C6D" w:rsidP="00586858">
      <w:pPr>
        <w:pStyle w:val="PargrafodaLista"/>
        <w:numPr>
          <w:ilvl w:val="0"/>
          <w:numId w:val="1"/>
        </w:numPr>
        <w:spacing w:before="60" w:after="120" w:line="360" w:lineRule="auto"/>
        <w:rPr>
          <w:rFonts w:ascii="Calibri" w:hAnsi="Calibri" w:cs="Calibri"/>
          <w:sz w:val="24"/>
          <w:szCs w:val="24"/>
        </w:rPr>
      </w:pPr>
      <w:r w:rsidRPr="00DF7563">
        <w:rPr>
          <w:rFonts w:ascii="Calibri" w:hAnsi="Calibri" w:cs="Calibri"/>
          <w:sz w:val="24"/>
          <w:szCs w:val="24"/>
        </w:rPr>
        <w:t xml:space="preserve">Alertar a alta administração sobre os projetos e processos operacionais que precisam de </w:t>
      </w:r>
      <w:r w:rsidR="00DF7563" w:rsidRPr="00DF7563">
        <w:rPr>
          <w:rFonts w:ascii="Calibri" w:hAnsi="Calibri" w:cs="Calibri"/>
          <w:sz w:val="24"/>
          <w:szCs w:val="24"/>
        </w:rPr>
        <w:t xml:space="preserve">maioir </w:t>
      </w:r>
      <w:r w:rsidRPr="00DF7563">
        <w:rPr>
          <w:rFonts w:ascii="Calibri" w:hAnsi="Calibri" w:cs="Calibri"/>
          <w:sz w:val="24"/>
          <w:szCs w:val="24"/>
        </w:rPr>
        <w:t>atenção;</w:t>
      </w:r>
    </w:p>
    <w:p w14:paraId="48A68BE9" w14:textId="28420C81" w:rsidR="00D17C6D" w:rsidRPr="00DF7563" w:rsidRDefault="00D17C6D" w:rsidP="00586858">
      <w:pPr>
        <w:pStyle w:val="PargrafodaLista"/>
        <w:numPr>
          <w:ilvl w:val="0"/>
          <w:numId w:val="1"/>
        </w:numPr>
        <w:spacing w:before="60" w:after="120" w:line="360" w:lineRule="auto"/>
        <w:rPr>
          <w:rFonts w:ascii="Calibri" w:hAnsi="Calibri" w:cs="Calibri"/>
          <w:sz w:val="24"/>
          <w:szCs w:val="24"/>
        </w:rPr>
      </w:pPr>
      <w:r w:rsidRPr="00DF7563">
        <w:rPr>
          <w:rFonts w:ascii="Calibri" w:hAnsi="Calibri" w:cs="Calibri"/>
          <w:sz w:val="24"/>
          <w:szCs w:val="24"/>
        </w:rPr>
        <w:t>Compartilhar melhores práticas;</w:t>
      </w:r>
    </w:p>
    <w:p w14:paraId="1DA882E0" w14:textId="2E93B59A" w:rsidR="00D17C6D" w:rsidRPr="00DF7563" w:rsidRDefault="00DF7563" w:rsidP="00586858">
      <w:pPr>
        <w:pStyle w:val="PargrafodaLista"/>
        <w:numPr>
          <w:ilvl w:val="0"/>
          <w:numId w:val="1"/>
        </w:numPr>
        <w:spacing w:before="60" w:after="120" w:line="360" w:lineRule="auto"/>
        <w:rPr>
          <w:rFonts w:ascii="Calibri" w:hAnsi="Calibri" w:cs="Calibri"/>
          <w:sz w:val="24"/>
          <w:szCs w:val="24"/>
        </w:rPr>
      </w:pPr>
      <w:r w:rsidRPr="00DF7563">
        <w:rPr>
          <w:rFonts w:ascii="Calibri" w:hAnsi="Calibri" w:cs="Calibri"/>
          <w:sz w:val="24"/>
          <w:szCs w:val="24"/>
        </w:rPr>
        <w:t>Informar as</w:t>
      </w:r>
      <w:r w:rsidR="00D17C6D" w:rsidRPr="00DF7563">
        <w:rPr>
          <w:rFonts w:ascii="Calibri" w:hAnsi="Calibri" w:cs="Calibri"/>
          <w:sz w:val="24"/>
          <w:szCs w:val="24"/>
        </w:rPr>
        <w:t xml:space="preserve"> deficiências encontradas, assim como o respectivo nível de ameaça ou exposição percebida, potencial ou real, e oportunidades identificadas para exploração ou reforço e revisão dos controles utilizados;</w:t>
      </w:r>
    </w:p>
    <w:p w14:paraId="422C7E33" w14:textId="098BE776" w:rsidR="00FD7D45" w:rsidRPr="004E578F" w:rsidRDefault="00FD7D45" w:rsidP="00FD7D45">
      <w:pPr>
        <w:spacing w:before="60" w:after="120" w:line="360" w:lineRule="auto"/>
        <w:ind w:firstLine="720"/>
        <w:jc w:val="both"/>
        <w:rPr>
          <w:rFonts w:cstheme="minorHAnsi"/>
          <w:sz w:val="24"/>
          <w:szCs w:val="24"/>
        </w:rPr>
      </w:pPr>
      <w:r w:rsidRPr="004E578F">
        <w:rPr>
          <w:rFonts w:cstheme="minorHAnsi"/>
          <w:sz w:val="24"/>
          <w:szCs w:val="24"/>
        </w:rPr>
        <w:t>O</w:t>
      </w:r>
      <w:r w:rsidRPr="004E578F">
        <w:rPr>
          <w:rFonts w:cstheme="minorHAnsi"/>
          <w:b/>
          <w:bCs/>
          <w:sz w:val="24"/>
          <w:szCs w:val="24"/>
        </w:rPr>
        <w:t xml:space="preserve"> Guia de Gerenciamento de Riscos</w:t>
      </w:r>
      <w:r w:rsidR="00F06CD0" w:rsidRPr="004E578F">
        <w:rPr>
          <w:rFonts w:cstheme="minorHAnsi"/>
          <w:sz w:val="24"/>
          <w:szCs w:val="24"/>
        </w:rPr>
        <w:t xml:space="preserve"> apresenta o passo a passo e as ferramentas a serem utilizada para a realização e </w:t>
      </w:r>
      <w:r w:rsidRPr="004E578F">
        <w:rPr>
          <w:rFonts w:cstheme="minorHAnsi"/>
          <w:sz w:val="24"/>
          <w:szCs w:val="24"/>
        </w:rPr>
        <w:t>registro das informações de todas as etapas do gerenciamento de riscos.</w:t>
      </w:r>
    </w:p>
    <w:p w14:paraId="3FF250FE" w14:textId="19BA511C" w:rsidR="00FD7D45" w:rsidRPr="004E578F" w:rsidRDefault="00FD7D45" w:rsidP="00FD7D45">
      <w:pPr>
        <w:spacing w:before="60" w:after="120" w:line="360" w:lineRule="auto"/>
        <w:ind w:firstLine="720"/>
        <w:jc w:val="both"/>
        <w:rPr>
          <w:rFonts w:cstheme="minorHAnsi"/>
          <w:sz w:val="24"/>
          <w:szCs w:val="24"/>
        </w:rPr>
      </w:pPr>
      <w:r w:rsidRPr="004E578F">
        <w:rPr>
          <w:rFonts w:cstheme="minorHAnsi"/>
          <w:sz w:val="24"/>
          <w:szCs w:val="24"/>
        </w:rPr>
        <w:t xml:space="preserve"> Os atos do processo de </w:t>
      </w:r>
      <w:r w:rsidR="00F06CD0" w:rsidRPr="004E578F">
        <w:rPr>
          <w:rFonts w:cstheme="minorHAnsi"/>
          <w:sz w:val="24"/>
          <w:szCs w:val="24"/>
        </w:rPr>
        <w:t>gerenciamento d</w:t>
      </w:r>
      <w:r w:rsidRPr="004E578F">
        <w:rPr>
          <w:rFonts w:cstheme="minorHAnsi"/>
          <w:sz w:val="24"/>
          <w:szCs w:val="24"/>
        </w:rPr>
        <w:t xml:space="preserve">e riscos devem ser </w:t>
      </w:r>
      <w:r w:rsidR="00F06CD0" w:rsidRPr="004E578F">
        <w:rPr>
          <w:rFonts w:cstheme="minorHAnsi"/>
          <w:sz w:val="24"/>
          <w:szCs w:val="24"/>
        </w:rPr>
        <w:t>incluídos</w:t>
      </w:r>
      <w:r w:rsidRPr="004E578F">
        <w:rPr>
          <w:rFonts w:cstheme="minorHAnsi"/>
          <w:sz w:val="24"/>
          <w:szCs w:val="24"/>
        </w:rPr>
        <w:t xml:space="preserve"> no Sistema Eletrônico de Informações – SEI do Ministério da Saúde, em cumprimento à Portaria Nº 900, de 31 de março de 2017.</w:t>
      </w:r>
    </w:p>
    <w:p w14:paraId="1BF93C5E" w14:textId="1BC66A54" w:rsidR="00F06CD0" w:rsidRDefault="00F06CD0">
      <w:r>
        <w:br w:type="page"/>
      </w:r>
    </w:p>
    <w:p w14:paraId="54FEE352" w14:textId="77777777" w:rsidR="00FD7D45" w:rsidRPr="00143388" w:rsidRDefault="00FD7D45" w:rsidP="00586858">
      <w:pPr>
        <w:pStyle w:val="Ttulo1"/>
        <w:numPr>
          <w:ilvl w:val="0"/>
          <w:numId w:val="4"/>
        </w:numPr>
        <w:spacing w:before="120" w:after="120"/>
        <w:rPr>
          <w:rFonts w:asciiTheme="minorHAnsi" w:hAnsiTheme="minorHAnsi" w:cstheme="minorHAnsi"/>
          <w:b/>
          <w:bCs/>
          <w:sz w:val="42"/>
        </w:rPr>
      </w:pPr>
      <w:bookmarkStart w:id="26" w:name="_Toc74468869"/>
      <w:r w:rsidRPr="00143388">
        <w:rPr>
          <w:rFonts w:asciiTheme="minorHAnsi" w:hAnsiTheme="minorHAnsi" w:cstheme="minorHAnsi"/>
          <w:b/>
          <w:bCs/>
          <w:sz w:val="26"/>
          <w:szCs w:val="26"/>
        </w:rPr>
        <w:t>REFERÊNCIAS BIBLIOGRÁFICAS</w:t>
      </w:r>
      <w:bookmarkEnd w:id="26"/>
    </w:p>
    <w:p w14:paraId="516396A8" w14:textId="77777777" w:rsidR="00FD7D45" w:rsidRDefault="00FD7D45" w:rsidP="00FD7D45">
      <w:pPr>
        <w:jc w:val="both"/>
        <w:rPr>
          <w:sz w:val="24"/>
          <w:szCs w:val="24"/>
        </w:rPr>
      </w:pPr>
    </w:p>
    <w:p w14:paraId="74978B03" w14:textId="44EBC7FD" w:rsidR="00FD7D45" w:rsidRPr="007466F9" w:rsidRDefault="00FD7D45" w:rsidP="00FD7D45">
      <w:pPr>
        <w:jc w:val="both"/>
        <w:rPr>
          <w:sz w:val="24"/>
          <w:szCs w:val="24"/>
        </w:rPr>
      </w:pPr>
      <w:r w:rsidRPr="007466F9">
        <w:rPr>
          <w:sz w:val="24"/>
          <w:szCs w:val="24"/>
        </w:rPr>
        <w:t>BRASIL. Ministério da Saúde</w:t>
      </w:r>
      <w:r w:rsidRPr="007466F9">
        <w:rPr>
          <w:b/>
          <w:sz w:val="24"/>
          <w:szCs w:val="24"/>
        </w:rPr>
        <w:t xml:space="preserve">. </w:t>
      </w:r>
      <w:r w:rsidRPr="007466F9">
        <w:rPr>
          <w:bCs/>
          <w:sz w:val="24"/>
          <w:szCs w:val="24"/>
        </w:rPr>
        <w:t>Portaria nº 1.</w:t>
      </w:r>
      <w:r w:rsidR="00F06CD0">
        <w:rPr>
          <w:bCs/>
          <w:sz w:val="24"/>
          <w:szCs w:val="24"/>
        </w:rPr>
        <w:t>185</w:t>
      </w:r>
      <w:r w:rsidRPr="007466F9">
        <w:rPr>
          <w:bCs/>
          <w:sz w:val="24"/>
          <w:szCs w:val="24"/>
        </w:rPr>
        <w:t>,</w:t>
      </w:r>
      <w:r w:rsidRPr="007466F9">
        <w:rPr>
          <w:sz w:val="24"/>
          <w:szCs w:val="24"/>
        </w:rPr>
        <w:t xml:space="preserve"> de </w:t>
      </w:r>
      <w:r w:rsidR="00F06CD0">
        <w:rPr>
          <w:sz w:val="24"/>
          <w:szCs w:val="24"/>
        </w:rPr>
        <w:t>9</w:t>
      </w:r>
      <w:r w:rsidRPr="007466F9">
        <w:rPr>
          <w:sz w:val="24"/>
          <w:szCs w:val="24"/>
        </w:rPr>
        <w:t xml:space="preserve"> de ju</w:t>
      </w:r>
      <w:r w:rsidR="00F06CD0">
        <w:rPr>
          <w:sz w:val="24"/>
          <w:szCs w:val="24"/>
        </w:rPr>
        <w:t>n</w:t>
      </w:r>
      <w:r w:rsidRPr="007466F9">
        <w:rPr>
          <w:sz w:val="24"/>
          <w:szCs w:val="24"/>
        </w:rPr>
        <w:t>ho de 20</w:t>
      </w:r>
      <w:r w:rsidR="00F06CD0">
        <w:rPr>
          <w:sz w:val="24"/>
          <w:szCs w:val="24"/>
        </w:rPr>
        <w:t>21</w:t>
      </w:r>
      <w:r w:rsidRPr="007466F9">
        <w:rPr>
          <w:sz w:val="24"/>
          <w:szCs w:val="24"/>
        </w:rPr>
        <w:t xml:space="preserve">, que institui a Política de </w:t>
      </w:r>
      <w:r w:rsidR="00F06CD0">
        <w:rPr>
          <w:sz w:val="24"/>
          <w:szCs w:val="24"/>
        </w:rPr>
        <w:t>Gestão de Riscos</w:t>
      </w:r>
      <w:r w:rsidRPr="007466F9">
        <w:rPr>
          <w:sz w:val="24"/>
          <w:szCs w:val="24"/>
        </w:rPr>
        <w:t xml:space="preserve"> no âmbito do Ministério da Saúde.</w:t>
      </w:r>
    </w:p>
    <w:p w14:paraId="0DD36E00" w14:textId="77777777" w:rsidR="00FD7D45" w:rsidRPr="007466F9" w:rsidRDefault="00FD7D45" w:rsidP="00FD7D45">
      <w:pPr>
        <w:jc w:val="both"/>
        <w:rPr>
          <w:sz w:val="24"/>
          <w:szCs w:val="24"/>
        </w:rPr>
      </w:pPr>
      <w:r w:rsidRPr="007466F9">
        <w:rPr>
          <w:sz w:val="24"/>
          <w:szCs w:val="24"/>
        </w:rPr>
        <w:t xml:space="preserve">BRASIL. </w:t>
      </w:r>
      <w:r w:rsidRPr="007466F9">
        <w:rPr>
          <w:bCs/>
          <w:sz w:val="24"/>
          <w:szCs w:val="24"/>
        </w:rPr>
        <w:t>Decreto nº 9.203</w:t>
      </w:r>
      <w:r w:rsidRPr="007466F9">
        <w:rPr>
          <w:sz w:val="24"/>
          <w:szCs w:val="24"/>
        </w:rPr>
        <w:t>, de 22 de novembro de 2017, que dispõe sobre a política de governança da administração pública federal direta, autárquica e fundacional.</w:t>
      </w:r>
    </w:p>
    <w:p w14:paraId="59655DE2" w14:textId="0116900A" w:rsidR="00FD7D45" w:rsidRPr="007466F9" w:rsidRDefault="00FD7D45" w:rsidP="00C5697F">
      <w:pPr>
        <w:jc w:val="both"/>
        <w:rPr>
          <w:sz w:val="24"/>
          <w:szCs w:val="24"/>
        </w:rPr>
      </w:pPr>
      <w:r w:rsidRPr="007466F9">
        <w:rPr>
          <w:sz w:val="24"/>
          <w:szCs w:val="24"/>
        </w:rPr>
        <w:t xml:space="preserve">BRASIL. Ministério da Transparência e Controladoria-Geral da União. </w:t>
      </w:r>
      <w:r w:rsidRPr="007466F9">
        <w:rPr>
          <w:bCs/>
          <w:sz w:val="24"/>
          <w:szCs w:val="24"/>
        </w:rPr>
        <w:t>Metodologia de Gestão</w:t>
      </w:r>
      <w:r w:rsidRPr="007466F9">
        <w:rPr>
          <w:bCs/>
          <w:sz w:val="24"/>
          <w:szCs w:val="24"/>
        </w:rPr>
        <w:tab/>
        <w:t>de</w:t>
      </w:r>
      <w:r w:rsidRPr="007466F9">
        <w:rPr>
          <w:bCs/>
          <w:sz w:val="24"/>
          <w:szCs w:val="24"/>
        </w:rPr>
        <w:tab/>
        <w:t>Riscos</w:t>
      </w:r>
      <w:r w:rsidRPr="007466F9">
        <w:rPr>
          <w:sz w:val="24"/>
          <w:szCs w:val="24"/>
        </w:rPr>
        <w:t>.</w:t>
      </w:r>
      <w:r w:rsidRPr="007466F9">
        <w:rPr>
          <w:sz w:val="24"/>
          <w:szCs w:val="24"/>
        </w:rPr>
        <w:tab/>
        <w:t>Disponível</w:t>
      </w:r>
      <w:r w:rsidRPr="007466F9">
        <w:rPr>
          <w:sz w:val="24"/>
          <w:szCs w:val="24"/>
        </w:rPr>
        <w:tab/>
      </w:r>
      <w:r w:rsidRPr="007466F9">
        <w:rPr>
          <w:spacing w:val="-8"/>
          <w:sz w:val="24"/>
          <w:szCs w:val="24"/>
        </w:rPr>
        <w:t xml:space="preserve">em </w:t>
      </w:r>
      <w:hyperlink r:id="rId54">
        <w:r w:rsidRPr="007466F9">
          <w:rPr>
            <w:color w:val="0462C1"/>
            <w:sz w:val="24"/>
            <w:szCs w:val="24"/>
            <w:u w:val="single" w:color="0462C1"/>
          </w:rPr>
          <w:t>http://www.cgu.gov.br/Publicacoes/institucionais/arquivos/cgu-metodologia-gestao-</w:t>
        </w:r>
      </w:hyperlink>
      <w:r w:rsidRPr="007466F9">
        <w:rPr>
          <w:color w:val="0462C1"/>
          <w:sz w:val="24"/>
          <w:szCs w:val="24"/>
        </w:rPr>
        <w:t xml:space="preserve"> </w:t>
      </w:r>
      <w:hyperlink r:id="rId55">
        <w:r w:rsidRPr="007466F9">
          <w:rPr>
            <w:color w:val="0462C1"/>
            <w:sz w:val="24"/>
            <w:szCs w:val="24"/>
            <w:u w:val="single" w:color="0462C1"/>
          </w:rPr>
          <w:t>riscos-2018.pdf</w:t>
        </w:r>
        <w:r w:rsidRPr="007466F9">
          <w:rPr>
            <w:sz w:val="24"/>
            <w:szCs w:val="24"/>
          </w:rPr>
          <w:t>.</w:t>
        </w:r>
      </w:hyperlink>
    </w:p>
    <w:p w14:paraId="566125E5" w14:textId="77777777" w:rsidR="00FD7D45" w:rsidRPr="007466F9" w:rsidRDefault="00FD7D45" w:rsidP="00FD7D45">
      <w:pPr>
        <w:jc w:val="both"/>
        <w:rPr>
          <w:sz w:val="24"/>
          <w:szCs w:val="24"/>
        </w:rPr>
      </w:pPr>
      <w:r w:rsidRPr="007466F9">
        <w:rPr>
          <w:sz w:val="24"/>
          <w:szCs w:val="24"/>
        </w:rPr>
        <w:t xml:space="preserve">BRASIL. Tribunal de Contas da União. </w:t>
      </w:r>
      <w:r w:rsidRPr="007466F9">
        <w:rPr>
          <w:bCs/>
          <w:sz w:val="24"/>
          <w:szCs w:val="24"/>
        </w:rPr>
        <w:t>Manual de Gestão de Riscos do TCU</w:t>
      </w:r>
      <w:r w:rsidRPr="007466F9">
        <w:rPr>
          <w:sz w:val="24"/>
          <w:szCs w:val="24"/>
        </w:rPr>
        <w:t xml:space="preserve">. Disponível em </w:t>
      </w:r>
      <w:hyperlink r:id="rId56">
        <w:r w:rsidRPr="007466F9">
          <w:rPr>
            <w:color w:val="0462C1"/>
            <w:sz w:val="24"/>
            <w:szCs w:val="24"/>
            <w:u w:val="single" w:color="0462C1"/>
          </w:rPr>
          <w:t>https://portal.tcu.gov.br/planejamento-governanca-e-gestao/gestao-de-</w:t>
        </w:r>
      </w:hyperlink>
      <w:r w:rsidRPr="007466F9">
        <w:rPr>
          <w:color w:val="0462C1"/>
          <w:sz w:val="24"/>
          <w:szCs w:val="24"/>
        </w:rPr>
        <w:t xml:space="preserve"> </w:t>
      </w:r>
      <w:hyperlink r:id="rId57">
        <w:r w:rsidRPr="007466F9">
          <w:rPr>
            <w:color w:val="0462C1"/>
            <w:sz w:val="24"/>
            <w:szCs w:val="24"/>
            <w:u w:val="single" w:color="0462C1"/>
          </w:rPr>
          <w:t>riscos/manual-de-</w:t>
        </w:r>
        <w:proofErr w:type="spellStart"/>
        <w:r w:rsidRPr="007466F9">
          <w:rPr>
            <w:color w:val="0462C1"/>
            <w:sz w:val="24"/>
            <w:szCs w:val="24"/>
            <w:u w:val="single" w:color="0462C1"/>
          </w:rPr>
          <w:t>gestao</w:t>
        </w:r>
        <w:proofErr w:type="spellEnd"/>
        <w:r w:rsidRPr="007466F9">
          <w:rPr>
            <w:color w:val="0462C1"/>
            <w:sz w:val="24"/>
            <w:szCs w:val="24"/>
            <w:u w:val="single" w:color="0462C1"/>
          </w:rPr>
          <w:t>-de-riscos/</w:t>
        </w:r>
        <w:r w:rsidRPr="007466F9">
          <w:rPr>
            <w:sz w:val="24"/>
            <w:szCs w:val="24"/>
          </w:rPr>
          <w:t>.</w:t>
        </w:r>
      </w:hyperlink>
      <w:r w:rsidRPr="007466F9">
        <w:rPr>
          <w:sz w:val="24"/>
          <w:szCs w:val="24"/>
        </w:rPr>
        <w:t xml:space="preserve"> Acesso em Maio de 2019.</w:t>
      </w:r>
    </w:p>
    <w:p w14:paraId="2091576F" w14:textId="77777777" w:rsidR="00FD7D45" w:rsidRPr="007466F9" w:rsidRDefault="00FD7D45" w:rsidP="00FD7D45">
      <w:pPr>
        <w:jc w:val="both"/>
        <w:rPr>
          <w:sz w:val="24"/>
          <w:szCs w:val="24"/>
        </w:rPr>
      </w:pPr>
      <w:r w:rsidRPr="007466F9">
        <w:rPr>
          <w:sz w:val="24"/>
          <w:szCs w:val="24"/>
        </w:rPr>
        <w:t xml:space="preserve">BRASIL. </w:t>
      </w:r>
      <w:r w:rsidRPr="007466F9">
        <w:rPr>
          <w:bCs/>
          <w:sz w:val="24"/>
          <w:szCs w:val="24"/>
        </w:rPr>
        <w:t>ABNT NBR ISO 31000:2018</w:t>
      </w:r>
      <w:r w:rsidRPr="007466F9">
        <w:rPr>
          <w:sz w:val="24"/>
          <w:szCs w:val="24"/>
        </w:rPr>
        <w:t>. Associação Brasileira de Normas Técnicas (ABNT). Gerenciamento de Riscos.</w:t>
      </w:r>
    </w:p>
    <w:p w14:paraId="1BB4ED03" w14:textId="77777777" w:rsidR="00FD7D45" w:rsidRPr="007466F9" w:rsidRDefault="00FD7D45" w:rsidP="00FD7D45">
      <w:pPr>
        <w:jc w:val="both"/>
        <w:rPr>
          <w:sz w:val="24"/>
          <w:szCs w:val="24"/>
        </w:rPr>
      </w:pPr>
      <w:r w:rsidRPr="007466F9">
        <w:rPr>
          <w:sz w:val="24"/>
          <w:szCs w:val="24"/>
        </w:rPr>
        <w:t>BRASIL. (2016) Instrução Normativa nº 01/2016. Ministério do Planejamento Orçamento e Gestão, Controladoria Geral da União, Brasília, DF.</w:t>
      </w:r>
    </w:p>
    <w:p w14:paraId="0C718560" w14:textId="77777777" w:rsidR="00FD7D45" w:rsidRPr="007466F9" w:rsidRDefault="00FD7D45" w:rsidP="00FD7D45">
      <w:pPr>
        <w:jc w:val="both"/>
        <w:rPr>
          <w:sz w:val="24"/>
          <w:szCs w:val="24"/>
        </w:rPr>
      </w:pPr>
      <w:r w:rsidRPr="007466F9">
        <w:rPr>
          <w:sz w:val="24"/>
          <w:szCs w:val="24"/>
        </w:rPr>
        <w:t>BRASIL. (2017) Manual de gestão de integridade, riscos e controles internos da gestão – CIRC, 1.2 Ministério do Planejamento, Desenvolvimento e Gestão, Brasília, DF.</w:t>
      </w:r>
    </w:p>
    <w:p w14:paraId="4A98A192" w14:textId="77777777" w:rsidR="00FD7D45" w:rsidRPr="007466F9" w:rsidRDefault="00FD7D45" w:rsidP="00FD7D45">
      <w:pPr>
        <w:jc w:val="both"/>
        <w:rPr>
          <w:sz w:val="24"/>
          <w:szCs w:val="24"/>
          <w:lang w:val="en-US"/>
        </w:rPr>
      </w:pPr>
      <w:r w:rsidRPr="007466F9">
        <w:rPr>
          <w:sz w:val="24"/>
          <w:szCs w:val="24"/>
          <w:lang w:val="en-US"/>
        </w:rPr>
        <w:t xml:space="preserve">COSO (2017) </w:t>
      </w:r>
      <w:proofErr w:type="spellStart"/>
      <w:r w:rsidRPr="007466F9">
        <w:rPr>
          <w:sz w:val="24"/>
          <w:szCs w:val="24"/>
          <w:lang w:val="en-US"/>
        </w:rPr>
        <w:t>Gerenciamento</w:t>
      </w:r>
      <w:proofErr w:type="spellEnd"/>
      <w:r w:rsidRPr="007466F9">
        <w:rPr>
          <w:sz w:val="24"/>
          <w:szCs w:val="24"/>
          <w:lang w:val="en-US"/>
        </w:rPr>
        <w:t xml:space="preserve"> de </w:t>
      </w:r>
      <w:proofErr w:type="spellStart"/>
      <w:r w:rsidRPr="007466F9">
        <w:rPr>
          <w:sz w:val="24"/>
          <w:szCs w:val="24"/>
          <w:lang w:val="en-US"/>
        </w:rPr>
        <w:t>Riscos</w:t>
      </w:r>
      <w:proofErr w:type="spellEnd"/>
      <w:r w:rsidRPr="007466F9">
        <w:rPr>
          <w:sz w:val="24"/>
          <w:szCs w:val="24"/>
          <w:lang w:val="en-US"/>
        </w:rPr>
        <w:t xml:space="preserve"> </w:t>
      </w:r>
      <w:proofErr w:type="spellStart"/>
      <w:r w:rsidRPr="007466F9">
        <w:rPr>
          <w:sz w:val="24"/>
          <w:szCs w:val="24"/>
          <w:lang w:val="en-US"/>
        </w:rPr>
        <w:t>Corporativos</w:t>
      </w:r>
      <w:proofErr w:type="spellEnd"/>
      <w:r w:rsidRPr="007466F9">
        <w:rPr>
          <w:sz w:val="24"/>
          <w:szCs w:val="24"/>
          <w:lang w:val="en-US"/>
        </w:rPr>
        <w:t xml:space="preserve"> </w:t>
      </w:r>
      <w:proofErr w:type="spellStart"/>
      <w:r w:rsidRPr="007466F9">
        <w:rPr>
          <w:sz w:val="24"/>
          <w:szCs w:val="24"/>
          <w:lang w:val="en-US"/>
        </w:rPr>
        <w:t>Integrado</w:t>
      </w:r>
      <w:proofErr w:type="spellEnd"/>
      <w:r w:rsidRPr="007466F9">
        <w:rPr>
          <w:sz w:val="24"/>
          <w:szCs w:val="24"/>
          <w:lang w:val="en-US"/>
        </w:rPr>
        <w:t xml:space="preserve"> com a </w:t>
      </w:r>
      <w:proofErr w:type="spellStart"/>
      <w:r w:rsidRPr="007466F9">
        <w:rPr>
          <w:sz w:val="24"/>
          <w:szCs w:val="24"/>
          <w:lang w:val="en-US"/>
        </w:rPr>
        <w:t>Estratégia</w:t>
      </w:r>
      <w:proofErr w:type="spellEnd"/>
      <w:r w:rsidRPr="007466F9">
        <w:rPr>
          <w:sz w:val="24"/>
          <w:szCs w:val="24"/>
          <w:lang w:val="en-US"/>
        </w:rPr>
        <w:t xml:space="preserve"> e Performance – </w:t>
      </w:r>
      <w:proofErr w:type="spellStart"/>
      <w:r w:rsidRPr="007466F9">
        <w:rPr>
          <w:sz w:val="24"/>
          <w:szCs w:val="24"/>
          <w:lang w:val="en-US"/>
        </w:rPr>
        <w:t>Sumário</w:t>
      </w:r>
      <w:proofErr w:type="spellEnd"/>
      <w:r w:rsidRPr="007466F9">
        <w:rPr>
          <w:sz w:val="24"/>
          <w:szCs w:val="24"/>
          <w:lang w:val="en-US"/>
        </w:rPr>
        <w:t xml:space="preserve"> </w:t>
      </w:r>
      <w:proofErr w:type="spellStart"/>
      <w:r w:rsidRPr="007466F9">
        <w:rPr>
          <w:sz w:val="24"/>
          <w:szCs w:val="24"/>
          <w:lang w:val="en-US"/>
        </w:rPr>
        <w:t>Executivo</w:t>
      </w:r>
      <w:proofErr w:type="spellEnd"/>
      <w:r w:rsidRPr="007466F9">
        <w:rPr>
          <w:sz w:val="24"/>
          <w:szCs w:val="24"/>
          <w:lang w:val="en-US"/>
        </w:rPr>
        <w:t>.</w:t>
      </w:r>
    </w:p>
    <w:p w14:paraId="7F68F568" w14:textId="77777777" w:rsidR="00FD7D45" w:rsidRPr="007466F9" w:rsidRDefault="00FD7D45" w:rsidP="00FD7D45">
      <w:pPr>
        <w:jc w:val="both"/>
        <w:rPr>
          <w:sz w:val="24"/>
          <w:szCs w:val="24"/>
        </w:rPr>
      </w:pPr>
      <w:r w:rsidRPr="007466F9">
        <w:rPr>
          <w:sz w:val="24"/>
          <w:szCs w:val="24"/>
        </w:rPr>
        <w:t xml:space="preserve">FORRISCO: gerenciamento de riscos em instituições públicas na prática/Paulo Henrique de Souza </w:t>
      </w:r>
      <w:proofErr w:type="spellStart"/>
      <w:r w:rsidRPr="007466F9">
        <w:rPr>
          <w:sz w:val="24"/>
          <w:szCs w:val="24"/>
        </w:rPr>
        <w:t>Bermejo</w:t>
      </w:r>
      <w:proofErr w:type="spellEnd"/>
      <w:r w:rsidRPr="007466F9">
        <w:rPr>
          <w:sz w:val="24"/>
          <w:szCs w:val="24"/>
        </w:rPr>
        <w:t xml:space="preserve"> et al. Brasília/DF: Editora </w:t>
      </w:r>
      <w:proofErr w:type="spellStart"/>
      <w:r w:rsidRPr="007466F9">
        <w:rPr>
          <w:sz w:val="24"/>
          <w:szCs w:val="24"/>
        </w:rPr>
        <w:t>Evobiz</w:t>
      </w:r>
      <w:proofErr w:type="spellEnd"/>
      <w:r w:rsidRPr="007466F9">
        <w:rPr>
          <w:sz w:val="24"/>
          <w:szCs w:val="24"/>
        </w:rPr>
        <w:t>, 2019.</w:t>
      </w:r>
    </w:p>
    <w:p w14:paraId="01447298" w14:textId="77777777" w:rsidR="00FD7D45" w:rsidRPr="007466F9" w:rsidRDefault="00FD7D45" w:rsidP="00FD7D45">
      <w:pPr>
        <w:jc w:val="both"/>
        <w:rPr>
          <w:sz w:val="24"/>
          <w:szCs w:val="24"/>
        </w:rPr>
      </w:pPr>
      <w:r w:rsidRPr="007466F9">
        <w:rPr>
          <w:sz w:val="24"/>
          <w:szCs w:val="24"/>
        </w:rPr>
        <w:t xml:space="preserve">SOUZA, </w:t>
      </w:r>
      <w:proofErr w:type="spellStart"/>
      <w:r w:rsidRPr="007466F9">
        <w:rPr>
          <w:sz w:val="24"/>
          <w:szCs w:val="24"/>
        </w:rPr>
        <w:t>Kleberson</w:t>
      </w:r>
      <w:proofErr w:type="spellEnd"/>
      <w:r w:rsidRPr="007466F9">
        <w:rPr>
          <w:sz w:val="24"/>
          <w:szCs w:val="24"/>
        </w:rPr>
        <w:t xml:space="preserve"> Roberto de. Como combater o desperdício no setor público: gestão de riscos na prática / </w:t>
      </w:r>
      <w:proofErr w:type="spellStart"/>
      <w:r w:rsidRPr="007466F9">
        <w:rPr>
          <w:sz w:val="24"/>
          <w:szCs w:val="24"/>
        </w:rPr>
        <w:t>Kleberson</w:t>
      </w:r>
      <w:proofErr w:type="spellEnd"/>
      <w:r w:rsidRPr="007466F9">
        <w:rPr>
          <w:sz w:val="24"/>
          <w:szCs w:val="24"/>
        </w:rPr>
        <w:t xml:space="preserve"> Roberto de Souza, Franklin Brasil Santos. – Belo horizonte: Fórum, 2019.</w:t>
      </w:r>
    </w:p>
    <w:p w14:paraId="455F022F" w14:textId="77777777" w:rsidR="00FD7D45" w:rsidRPr="007466F9" w:rsidRDefault="00FD7D45" w:rsidP="00FD7D45">
      <w:pPr>
        <w:jc w:val="both"/>
        <w:rPr>
          <w:sz w:val="24"/>
          <w:szCs w:val="24"/>
        </w:rPr>
      </w:pPr>
    </w:p>
    <w:p w14:paraId="68E3A5BB" w14:textId="77777777" w:rsidR="00FD7D45" w:rsidRPr="007466F9" w:rsidRDefault="00FD7D45" w:rsidP="00FD7D45">
      <w:pPr>
        <w:jc w:val="both"/>
        <w:rPr>
          <w:sz w:val="24"/>
          <w:szCs w:val="24"/>
        </w:rPr>
      </w:pPr>
    </w:p>
    <w:p w14:paraId="0059DCEA" w14:textId="77777777" w:rsidR="00FD7D45" w:rsidRPr="007466F9" w:rsidRDefault="00FD7D45" w:rsidP="00FD7D45">
      <w:pPr>
        <w:jc w:val="both"/>
        <w:rPr>
          <w:sz w:val="24"/>
          <w:szCs w:val="24"/>
        </w:rPr>
      </w:pPr>
    </w:p>
    <w:p w14:paraId="127CB8A7" w14:textId="77777777" w:rsidR="00FD7D45" w:rsidRPr="007466F9" w:rsidRDefault="00FD7D45" w:rsidP="00FD7D45">
      <w:pPr>
        <w:rPr>
          <w:sz w:val="24"/>
          <w:szCs w:val="24"/>
        </w:rPr>
      </w:pPr>
      <w:r w:rsidRPr="007466F9">
        <w:rPr>
          <w:sz w:val="24"/>
          <w:szCs w:val="24"/>
        </w:rPr>
        <w:br w:type="page"/>
      </w:r>
    </w:p>
    <w:p w14:paraId="55C4A89F" w14:textId="77777777" w:rsidR="00FD7D45" w:rsidRPr="00143388" w:rsidRDefault="00FD7D45" w:rsidP="00586858">
      <w:pPr>
        <w:pStyle w:val="Ttulo1"/>
        <w:numPr>
          <w:ilvl w:val="0"/>
          <w:numId w:val="4"/>
        </w:numPr>
        <w:spacing w:before="120" w:after="120"/>
        <w:rPr>
          <w:rFonts w:asciiTheme="minorHAnsi" w:hAnsiTheme="minorHAnsi" w:cstheme="minorHAnsi"/>
          <w:b/>
          <w:bCs/>
          <w:sz w:val="26"/>
          <w:szCs w:val="26"/>
        </w:rPr>
      </w:pPr>
      <w:bookmarkStart w:id="27" w:name="_Toc74468870"/>
      <w:r w:rsidRPr="00143388">
        <w:rPr>
          <w:rFonts w:asciiTheme="minorHAnsi" w:hAnsiTheme="minorHAnsi" w:cstheme="minorHAnsi"/>
          <w:b/>
          <w:bCs/>
          <w:sz w:val="26"/>
          <w:szCs w:val="26"/>
        </w:rPr>
        <w:t>GLOSSÁRIO</w:t>
      </w:r>
      <w:bookmarkEnd w:id="27"/>
    </w:p>
    <w:p w14:paraId="7485CEAE" w14:textId="77777777" w:rsidR="00FD7D45" w:rsidRPr="0077389F" w:rsidRDefault="00FD7D45" w:rsidP="00FD7D45">
      <w:pPr>
        <w:pStyle w:val="Ttulo1"/>
        <w:spacing w:before="120" w:after="120"/>
        <w:ind w:left="360"/>
        <w:rPr>
          <w:b/>
          <w:bCs/>
        </w:rPr>
      </w:pPr>
    </w:p>
    <w:p w14:paraId="4C56E358" w14:textId="77777777" w:rsidR="00FD7D45" w:rsidRPr="007466F9" w:rsidRDefault="00FD7D45" w:rsidP="00FD7D45">
      <w:pPr>
        <w:spacing w:before="60" w:after="120" w:line="360" w:lineRule="auto"/>
        <w:jc w:val="both"/>
        <w:rPr>
          <w:rFonts w:ascii="Calibri" w:hAnsi="Calibri" w:cs="Calibri"/>
          <w:b/>
          <w:bCs/>
          <w:sz w:val="24"/>
          <w:szCs w:val="24"/>
        </w:rPr>
      </w:pPr>
      <w:r w:rsidRPr="007466F9">
        <w:rPr>
          <w:rFonts w:ascii="Calibri" w:hAnsi="Calibri" w:cs="Calibri"/>
          <w:b/>
          <w:bCs/>
          <w:sz w:val="24"/>
          <w:szCs w:val="24"/>
        </w:rPr>
        <w:t>Apetite ao risco</w:t>
      </w:r>
      <w:r w:rsidRPr="007466F9">
        <w:rPr>
          <w:rFonts w:ascii="Calibri" w:hAnsi="Calibri" w:cs="Calibri"/>
          <w:sz w:val="24"/>
          <w:szCs w:val="24"/>
        </w:rPr>
        <w:t>: nível de risco que uma organização está disposta a aceitar na busca de seus objetivos.</w:t>
      </w:r>
    </w:p>
    <w:p w14:paraId="3C5C83CE" w14:textId="77777777" w:rsidR="00FD7D45" w:rsidRPr="007466F9" w:rsidRDefault="00FD7D45" w:rsidP="00FD7D45">
      <w:pPr>
        <w:spacing w:before="60" w:after="120" w:line="360" w:lineRule="auto"/>
        <w:jc w:val="both"/>
        <w:rPr>
          <w:rFonts w:ascii="Calibri" w:hAnsi="Calibri" w:cs="Calibri"/>
          <w:sz w:val="24"/>
          <w:szCs w:val="24"/>
        </w:rPr>
      </w:pPr>
      <w:r w:rsidRPr="007466F9">
        <w:rPr>
          <w:rFonts w:ascii="Calibri" w:hAnsi="Calibri" w:cs="Calibri"/>
          <w:b/>
          <w:bCs/>
          <w:sz w:val="24"/>
          <w:szCs w:val="24"/>
        </w:rPr>
        <w:t>Causas</w:t>
      </w:r>
      <w:r w:rsidRPr="007466F9">
        <w:rPr>
          <w:rFonts w:ascii="Calibri" w:hAnsi="Calibri" w:cs="Calibri"/>
          <w:sz w:val="24"/>
          <w:szCs w:val="24"/>
        </w:rPr>
        <w:t>: condições que dão origem à possibilidade de um risco ocorrer, também chamadas de fatores de riscos e podem ter origem no ambiente interno e externo.</w:t>
      </w:r>
    </w:p>
    <w:p w14:paraId="443951B3" w14:textId="77777777" w:rsidR="00FD7D45" w:rsidRPr="007466F9" w:rsidRDefault="00FD7D45" w:rsidP="00FD7D45">
      <w:pPr>
        <w:spacing w:before="60" w:after="120" w:line="360" w:lineRule="auto"/>
        <w:jc w:val="both"/>
        <w:rPr>
          <w:rFonts w:ascii="Calibri" w:hAnsi="Calibri" w:cs="Calibri"/>
          <w:sz w:val="24"/>
          <w:szCs w:val="24"/>
        </w:rPr>
      </w:pPr>
      <w:r w:rsidRPr="007466F9">
        <w:rPr>
          <w:rFonts w:ascii="Calibri" w:hAnsi="Calibri" w:cs="Calibri"/>
          <w:b/>
          <w:bCs/>
          <w:sz w:val="24"/>
          <w:szCs w:val="24"/>
        </w:rPr>
        <w:t>Controles internos da gestão</w:t>
      </w:r>
      <w:r w:rsidRPr="007466F9">
        <w:rPr>
          <w:rFonts w:ascii="Calibri" w:hAnsi="Calibri" w:cs="Calibri"/>
          <w:sz w:val="24"/>
          <w:szCs w:val="24"/>
        </w:rPr>
        <w:t>: conjunto de regras, procedimentos, diretrizes, protocolos e rotinas destinados a evitar, mitigar, transferir, compartilhar ou aceitar e os riscos e a oferecer   segurança razoável para a consecução da missão da organização.</w:t>
      </w:r>
    </w:p>
    <w:p w14:paraId="66000E07" w14:textId="77777777" w:rsidR="00FD7D45" w:rsidRPr="007466F9" w:rsidRDefault="00FD7D45" w:rsidP="00FD7D45">
      <w:pPr>
        <w:spacing w:before="60" w:after="120" w:line="360" w:lineRule="auto"/>
        <w:jc w:val="both"/>
        <w:rPr>
          <w:rFonts w:ascii="Calibri" w:hAnsi="Calibri" w:cs="Calibri"/>
          <w:sz w:val="24"/>
          <w:szCs w:val="24"/>
        </w:rPr>
      </w:pPr>
      <w:r w:rsidRPr="007466F9">
        <w:rPr>
          <w:rFonts w:ascii="Calibri" w:hAnsi="Calibri" w:cs="Calibri"/>
          <w:b/>
          <w:bCs/>
          <w:sz w:val="24"/>
          <w:szCs w:val="24"/>
        </w:rPr>
        <w:t>Consequências</w:t>
      </w:r>
      <w:r w:rsidRPr="007466F9">
        <w:rPr>
          <w:rFonts w:ascii="Calibri" w:hAnsi="Calibri" w:cs="Calibri"/>
          <w:sz w:val="24"/>
          <w:szCs w:val="24"/>
        </w:rPr>
        <w:t>: o efeito de um risco sobre os objetivos (estratégicos, operacionais, comunicação, conformidade, outros).</w:t>
      </w:r>
    </w:p>
    <w:p w14:paraId="2B26FFC1" w14:textId="77777777" w:rsidR="00FD7D45" w:rsidRPr="007466F9" w:rsidRDefault="00FD7D45" w:rsidP="00FD7D45">
      <w:pPr>
        <w:spacing w:before="60" w:after="120" w:line="360" w:lineRule="auto"/>
        <w:jc w:val="both"/>
        <w:rPr>
          <w:rFonts w:ascii="Calibri" w:hAnsi="Calibri" w:cs="Calibri"/>
          <w:sz w:val="24"/>
          <w:szCs w:val="24"/>
        </w:rPr>
      </w:pPr>
      <w:r w:rsidRPr="007466F9">
        <w:rPr>
          <w:rFonts w:ascii="Calibri" w:hAnsi="Calibri" w:cs="Calibri"/>
          <w:b/>
          <w:sz w:val="24"/>
          <w:szCs w:val="24"/>
        </w:rPr>
        <w:t xml:space="preserve">Entrevistas: </w:t>
      </w:r>
      <w:r w:rsidRPr="007466F9">
        <w:rPr>
          <w:rFonts w:ascii="Calibri" w:hAnsi="Calibri" w:cs="Calibri"/>
          <w:sz w:val="24"/>
          <w:szCs w:val="24"/>
        </w:rPr>
        <w:t>consiste em realizar entrevista com os principais agentes envolvidos no processo e especialistas da área buscando assim identificar os</w:t>
      </w:r>
      <w:r w:rsidRPr="007466F9">
        <w:rPr>
          <w:rFonts w:ascii="Calibri" w:hAnsi="Calibri" w:cs="Calibri"/>
          <w:spacing w:val="-6"/>
          <w:sz w:val="24"/>
          <w:szCs w:val="24"/>
        </w:rPr>
        <w:t xml:space="preserve"> </w:t>
      </w:r>
      <w:r w:rsidRPr="007466F9">
        <w:rPr>
          <w:rFonts w:ascii="Calibri" w:hAnsi="Calibri" w:cs="Calibri"/>
          <w:sz w:val="24"/>
          <w:szCs w:val="24"/>
        </w:rPr>
        <w:t>riscos.</w:t>
      </w:r>
    </w:p>
    <w:p w14:paraId="122E6775" w14:textId="77777777" w:rsidR="00FD7D45" w:rsidRPr="007466F9" w:rsidRDefault="00FD7D45" w:rsidP="00FD7D45">
      <w:pPr>
        <w:spacing w:before="60" w:after="120" w:line="360" w:lineRule="auto"/>
        <w:jc w:val="both"/>
        <w:rPr>
          <w:rFonts w:ascii="Calibri" w:hAnsi="Calibri" w:cs="Calibri"/>
          <w:sz w:val="24"/>
          <w:szCs w:val="24"/>
        </w:rPr>
      </w:pPr>
      <w:r w:rsidRPr="007466F9">
        <w:rPr>
          <w:rFonts w:ascii="Calibri" w:hAnsi="Calibri" w:cs="Calibri"/>
          <w:b/>
          <w:bCs/>
          <w:sz w:val="24"/>
          <w:szCs w:val="24"/>
        </w:rPr>
        <w:t>Fonte ou origem do risco</w:t>
      </w:r>
      <w:r w:rsidRPr="007466F9">
        <w:rPr>
          <w:rFonts w:ascii="Calibri" w:hAnsi="Calibri" w:cs="Calibri"/>
          <w:sz w:val="24"/>
          <w:szCs w:val="24"/>
        </w:rPr>
        <w:t>: elemento que, individualmente ou combinado, tem o potencial para dar origem ao risco.</w:t>
      </w:r>
    </w:p>
    <w:p w14:paraId="1943ACE7" w14:textId="1416D554" w:rsidR="00FD7D45" w:rsidRPr="007466F9" w:rsidRDefault="00FD7D45" w:rsidP="00FD7D45">
      <w:pPr>
        <w:spacing w:before="60" w:after="120" w:line="360" w:lineRule="auto"/>
        <w:jc w:val="both"/>
        <w:rPr>
          <w:rFonts w:ascii="Calibri" w:hAnsi="Calibri" w:cs="Calibri"/>
          <w:sz w:val="24"/>
          <w:szCs w:val="24"/>
        </w:rPr>
      </w:pPr>
      <w:r w:rsidRPr="007466F9">
        <w:rPr>
          <w:rFonts w:ascii="Calibri" w:hAnsi="Calibri" w:cs="Calibri"/>
          <w:b/>
          <w:bCs/>
          <w:sz w:val="24"/>
          <w:szCs w:val="24"/>
        </w:rPr>
        <w:t>Gerenciamento de riscos</w:t>
      </w:r>
      <w:r w:rsidRPr="007466F9">
        <w:rPr>
          <w:rFonts w:ascii="Calibri" w:hAnsi="Calibri" w:cs="Calibri"/>
          <w:sz w:val="24"/>
          <w:szCs w:val="24"/>
        </w:rPr>
        <w:t>: processo destinado a identificar, analisar, avaliar, tratar, monitorar e comunicar os potenciais eventos ou situações que possam impactar o alcance dos objetivos da instituição</w:t>
      </w:r>
      <w:r w:rsidR="00176470">
        <w:rPr>
          <w:rFonts w:ascii="Calibri" w:hAnsi="Calibri" w:cs="Calibri"/>
          <w:sz w:val="24"/>
          <w:szCs w:val="24"/>
        </w:rPr>
        <w:t>.</w:t>
      </w:r>
    </w:p>
    <w:p w14:paraId="544CD2A3" w14:textId="4B02A718" w:rsidR="00FD7D45" w:rsidRPr="007466F9" w:rsidRDefault="00FD7D45" w:rsidP="00FD7D45">
      <w:pPr>
        <w:spacing w:before="60" w:after="120" w:line="360" w:lineRule="auto"/>
        <w:jc w:val="both"/>
        <w:rPr>
          <w:rFonts w:ascii="Calibri" w:hAnsi="Calibri" w:cs="Calibri"/>
          <w:sz w:val="24"/>
          <w:szCs w:val="24"/>
        </w:rPr>
      </w:pPr>
      <w:r w:rsidRPr="007466F9">
        <w:rPr>
          <w:rFonts w:ascii="Calibri" w:hAnsi="Calibri" w:cs="Calibri"/>
          <w:b/>
          <w:bCs/>
          <w:sz w:val="24"/>
          <w:szCs w:val="24"/>
        </w:rPr>
        <w:t>Gestão de riscos</w:t>
      </w:r>
      <w:r w:rsidRPr="007466F9">
        <w:rPr>
          <w:rFonts w:ascii="Calibri" w:hAnsi="Calibri" w:cs="Calibri"/>
          <w:sz w:val="24"/>
          <w:szCs w:val="24"/>
        </w:rPr>
        <w:t>: processo de natureza permanente, estabelecido, direcionado e monitorado pela alta administração, que sistematiza, estrutura e coordena as atividades de gerenciamento de riscos da organização</w:t>
      </w:r>
      <w:r w:rsidR="00176470">
        <w:rPr>
          <w:rFonts w:ascii="Calibri" w:hAnsi="Calibri" w:cs="Calibri"/>
          <w:sz w:val="24"/>
          <w:szCs w:val="24"/>
        </w:rPr>
        <w:t>.</w:t>
      </w:r>
    </w:p>
    <w:p w14:paraId="2239A450" w14:textId="77777777" w:rsidR="00FD7D45" w:rsidRPr="007466F9" w:rsidRDefault="00FD7D45" w:rsidP="00FD7D45">
      <w:pPr>
        <w:jc w:val="both"/>
        <w:rPr>
          <w:rFonts w:ascii="Calibri" w:hAnsi="Calibri" w:cs="Calibri"/>
          <w:sz w:val="24"/>
          <w:szCs w:val="24"/>
        </w:rPr>
      </w:pPr>
      <w:r w:rsidRPr="007466F9">
        <w:rPr>
          <w:rFonts w:ascii="Calibri" w:hAnsi="Calibri" w:cs="Calibri"/>
          <w:b/>
          <w:bCs/>
          <w:sz w:val="24"/>
          <w:szCs w:val="24"/>
        </w:rPr>
        <w:t>Gestor de risco</w:t>
      </w:r>
      <w:r w:rsidRPr="007466F9">
        <w:rPr>
          <w:rFonts w:ascii="Calibri" w:hAnsi="Calibri" w:cs="Calibri"/>
          <w:sz w:val="24"/>
          <w:szCs w:val="24"/>
        </w:rPr>
        <w:t> é a pessoa, papel ou estrutura organizacional com autoridade e responsabilidade para gerenciar um risco. Os gestores de riscos têm a atribuição de executar as atividades do processo de gestão de riscos dos objetos de gestão sob sua responsabilidade.</w:t>
      </w:r>
    </w:p>
    <w:p w14:paraId="18615686" w14:textId="1C6DF0AF" w:rsidR="00FD7D45" w:rsidRPr="007466F9" w:rsidRDefault="00FD7D45" w:rsidP="00FD7D45">
      <w:pPr>
        <w:spacing w:before="60" w:after="120" w:line="360" w:lineRule="auto"/>
        <w:jc w:val="both"/>
        <w:rPr>
          <w:rFonts w:ascii="Calibri" w:hAnsi="Calibri" w:cs="Calibri"/>
          <w:sz w:val="24"/>
          <w:szCs w:val="24"/>
        </w:rPr>
      </w:pPr>
      <w:r w:rsidRPr="007466F9">
        <w:rPr>
          <w:rFonts w:ascii="Calibri" w:hAnsi="Calibri" w:cs="Calibri"/>
          <w:b/>
          <w:sz w:val="24"/>
          <w:szCs w:val="24"/>
        </w:rPr>
        <w:t>Gravata Borboleta (</w:t>
      </w:r>
      <w:proofErr w:type="spellStart"/>
      <w:r w:rsidRPr="007466F9">
        <w:rPr>
          <w:rFonts w:ascii="Calibri" w:hAnsi="Calibri" w:cs="Calibri"/>
          <w:b/>
          <w:i/>
          <w:iCs/>
          <w:sz w:val="24"/>
          <w:szCs w:val="24"/>
        </w:rPr>
        <w:t>Bow-tie</w:t>
      </w:r>
      <w:proofErr w:type="spellEnd"/>
      <w:r w:rsidRPr="007466F9">
        <w:rPr>
          <w:rFonts w:ascii="Calibri" w:hAnsi="Calibri" w:cs="Calibri"/>
          <w:b/>
          <w:i/>
          <w:iCs/>
          <w:sz w:val="24"/>
          <w:szCs w:val="24"/>
        </w:rPr>
        <w:t>)</w:t>
      </w:r>
      <w:r w:rsidRPr="007466F9">
        <w:rPr>
          <w:rFonts w:ascii="Calibri" w:hAnsi="Calibri" w:cs="Calibri"/>
          <w:b/>
          <w:sz w:val="24"/>
          <w:szCs w:val="24"/>
        </w:rPr>
        <w:t xml:space="preserve">: </w:t>
      </w:r>
      <w:r w:rsidRPr="007466F9">
        <w:rPr>
          <w:rFonts w:ascii="Calibri" w:hAnsi="Calibri" w:cs="Calibri"/>
          <w:sz w:val="24"/>
          <w:szCs w:val="24"/>
        </w:rPr>
        <w:t xml:space="preserve">nesta técnica, identifica-se o risco e em seguida suas possíveis causas e </w:t>
      </w:r>
      <w:r w:rsidR="00176470" w:rsidRPr="007466F9">
        <w:rPr>
          <w:rFonts w:ascii="Calibri" w:hAnsi="Calibri" w:cs="Calibri"/>
          <w:sz w:val="24"/>
          <w:szCs w:val="24"/>
        </w:rPr>
        <w:t>consequências</w:t>
      </w:r>
      <w:r w:rsidRPr="007466F9">
        <w:rPr>
          <w:rFonts w:ascii="Calibri" w:hAnsi="Calibri" w:cs="Calibri"/>
          <w:sz w:val="24"/>
          <w:szCs w:val="24"/>
        </w:rPr>
        <w:t xml:space="preserve">. A identificação e registro das </w:t>
      </w:r>
      <w:r w:rsidR="00176470" w:rsidRPr="007466F9">
        <w:rPr>
          <w:rFonts w:ascii="Calibri" w:hAnsi="Calibri" w:cs="Calibri"/>
          <w:sz w:val="24"/>
          <w:szCs w:val="24"/>
        </w:rPr>
        <w:t>possíveis</w:t>
      </w:r>
      <w:r w:rsidRPr="007466F9">
        <w:rPr>
          <w:rFonts w:ascii="Calibri" w:hAnsi="Calibri" w:cs="Calibri"/>
          <w:sz w:val="24"/>
          <w:szCs w:val="24"/>
        </w:rPr>
        <w:t xml:space="preserve"> causas e </w:t>
      </w:r>
      <w:r w:rsidR="00176470" w:rsidRPr="007466F9">
        <w:rPr>
          <w:rFonts w:ascii="Calibri" w:hAnsi="Calibri" w:cs="Calibri"/>
          <w:sz w:val="24"/>
          <w:szCs w:val="24"/>
        </w:rPr>
        <w:t>consequências</w:t>
      </w:r>
      <w:r w:rsidRPr="007466F9">
        <w:rPr>
          <w:rFonts w:ascii="Calibri" w:hAnsi="Calibri" w:cs="Calibri"/>
          <w:sz w:val="24"/>
          <w:szCs w:val="24"/>
        </w:rPr>
        <w:t xml:space="preserve"> contribuirão com a forma de prevenir a ocorrência do risco (controles preventivos) e/ou com as formas de atenuar as </w:t>
      </w:r>
      <w:r w:rsidR="00176470" w:rsidRPr="007466F9">
        <w:rPr>
          <w:rFonts w:ascii="Calibri" w:hAnsi="Calibri" w:cs="Calibri"/>
          <w:sz w:val="24"/>
          <w:szCs w:val="24"/>
        </w:rPr>
        <w:t>consequências</w:t>
      </w:r>
      <w:r w:rsidRPr="007466F9">
        <w:rPr>
          <w:rFonts w:ascii="Calibri" w:hAnsi="Calibri" w:cs="Calibri"/>
          <w:spacing w:val="-11"/>
          <w:sz w:val="24"/>
          <w:szCs w:val="24"/>
        </w:rPr>
        <w:t xml:space="preserve"> </w:t>
      </w:r>
      <w:r w:rsidRPr="007466F9">
        <w:rPr>
          <w:rFonts w:ascii="Calibri" w:hAnsi="Calibri" w:cs="Calibri"/>
          <w:sz w:val="24"/>
          <w:szCs w:val="24"/>
        </w:rPr>
        <w:t>caso</w:t>
      </w:r>
      <w:r w:rsidRPr="007466F9">
        <w:rPr>
          <w:rFonts w:ascii="Calibri" w:hAnsi="Calibri" w:cs="Calibri"/>
          <w:spacing w:val="-11"/>
          <w:sz w:val="24"/>
          <w:szCs w:val="24"/>
        </w:rPr>
        <w:t xml:space="preserve"> </w:t>
      </w:r>
      <w:r w:rsidRPr="007466F9">
        <w:rPr>
          <w:rFonts w:ascii="Calibri" w:hAnsi="Calibri" w:cs="Calibri"/>
          <w:sz w:val="24"/>
          <w:szCs w:val="24"/>
        </w:rPr>
        <w:t>o</w:t>
      </w:r>
      <w:r w:rsidRPr="007466F9">
        <w:rPr>
          <w:rFonts w:ascii="Calibri" w:hAnsi="Calibri" w:cs="Calibri"/>
          <w:spacing w:val="-9"/>
          <w:sz w:val="24"/>
          <w:szCs w:val="24"/>
        </w:rPr>
        <w:t xml:space="preserve"> </w:t>
      </w:r>
      <w:r w:rsidRPr="007466F9">
        <w:rPr>
          <w:rFonts w:ascii="Calibri" w:hAnsi="Calibri" w:cs="Calibri"/>
          <w:sz w:val="24"/>
          <w:szCs w:val="24"/>
        </w:rPr>
        <w:t>risco</w:t>
      </w:r>
      <w:r w:rsidRPr="007466F9">
        <w:rPr>
          <w:rFonts w:ascii="Calibri" w:hAnsi="Calibri" w:cs="Calibri"/>
          <w:spacing w:val="-10"/>
          <w:sz w:val="24"/>
          <w:szCs w:val="24"/>
        </w:rPr>
        <w:t xml:space="preserve"> </w:t>
      </w:r>
      <w:r w:rsidRPr="007466F9">
        <w:rPr>
          <w:rFonts w:ascii="Calibri" w:hAnsi="Calibri" w:cs="Calibri"/>
          <w:sz w:val="24"/>
          <w:szCs w:val="24"/>
        </w:rPr>
        <w:t>se</w:t>
      </w:r>
      <w:r w:rsidRPr="007466F9">
        <w:rPr>
          <w:rFonts w:ascii="Calibri" w:hAnsi="Calibri" w:cs="Calibri"/>
          <w:spacing w:val="-12"/>
          <w:sz w:val="24"/>
          <w:szCs w:val="24"/>
        </w:rPr>
        <w:t xml:space="preserve"> </w:t>
      </w:r>
      <w:r w:rsidRPr="007466F9">
        <w:rPr>
          <w:rFonts w:ascii="Calibri" w:hAnsi="Calibri" w:cs="Calibri"/>
          <w:sz w:val="24"/>
          <w:szCs w:val="24"/>
        </w:rPr>
        <w:t>materialize</w:t>
      </w:r>
      <w:r w:rsidRPr="007466F9">
        <w:rPr>
          <w:rFonts w:ascii="Calibri" w:hAnsi="Calibri" w:cs="Calibri"/>
          <w:spacing w:val="-7"/>
          <w:sz w:val="24"/>
          <w:szCs w:val="24"/>
        </w:rPr>
        <w:t xml:space="preserve"> </w:t>
      </w:r>
      <w:r w:rsidRPr="007466F9">
        <w:rPr>
          <w:rFonts w:ascii="Calibri" w:hAnsi="Calibri" w:cs="Calibri"/>
          <w:sz w:val="24"/>
          <w:szCs w:val="24"/>
        </w:rPr>
        <w:t>(controles</w:t>
      </w:r>
      <w:r w:rsidRPr="007466F9">
        <w:rPr>
          <w:rFonts w:ascii="Calibri" w:hAnsi="Calibri" w:cs="Calibri"/>
          <w:spacing w:val="-10"/>
          <w:sz w:val="24"/>
          <w:szCs w:val="24"/>
        </w:rPr>
        <w:t xml:space="preserve"> </w:t>
      </w:r>
      <w:r w:rsidRPr="007466F9">
        <w:rPr>
          <w:rFonts w:ascii="Calibri" w:hAnsi="Calibri" w:cs="Calibri"/>
          <w:sz w:val="24"/>
          <w:szCs w:val="24"/>
        </w:rPr>
        <w:t>de</w:t>
      </w:r>
      <w:r w:rsidRPr="007466F9">
        <w:rPr>
          <w:rFonts w:ascii="Calibri" w:hAnsi="Calibri" w:cs="Calibri"/>
          <w:spacing w:val="-10"/>
          <w:sz w:val="24"/>
          <w:szCs w:val="24"/>
        </w:rPr>
        <w:t xml:space="preserve"> </w:t>
      </w:r>
      <w:r w:rsidRPr="007466F9">
        <w:rPr>
          <w:rFonts w:ascii="Calibri" w:hAnsi="Calibri" w:cs="Calibri"/>
          <w:sz w:val="24"/>
          <w:szCs w:val="24"/>
        </w:rPr>
        <w:t>atenuação</w:t>
      </w:r>
      <w:r w:rsidRPr="007466F9">
        <w:rPr>
          <w:rFonts w:ascii="Calibri" w:hAnsi="Calibri" w:cs="Calibri"/>
          <w:spacing w:val="-9"/>
          <w:sz w:val="24"/>
          <w:szCs w:val="24"/>
        </w:rPr>
        <w:t xml:space="preserve"> </w:t>
      </w:r>
      <w:r w:rsidRPr="007466F9">
        <w:rPr>
          <w:rFonts w:ascii="Calibri" w:hAnsi="Calibri" w:cs="Calibri"/>
          <w:sz w:val="24"/>
          <w:szCs w:val="24"/>
        </w:rPr>
        <w:t>e</w:t>
      </w:r>
      <w:r w:rsidRPr="007466F9">
        <w:rPr>
          <w:rFonts w:ascii="Calibri" w:hAnsi="Calibri" w:cs="Calibri"/>
          <w:spacing w:val="-9"/>
          <w:sz w:val="24"/>
          <w:szCs w:val="24"/>
        </w:rPr>
        <w:t xml:space="preserve"> </w:t>
      </w:r>
      <w:r w:rsidRPr="007466F9">
        <w:rPr>
          <w:rFonts w:ascii="Calibri" w:hAnsi="Calibri" w:cs="Calibri"/>
          <w:sz w:val="24"/>
          <w:szCs w:val="24"/>
        </w:rPr>
        <w:t>recuperação).</w:t>
      </w:r>
    </w:p>
    <w:p w14:paraId="694114C4" w14:textId="77777777" w:rsidR="00FD7D45" w:rsidRPr="007466F9" w:rsidRDefault="00FD7D45" w:rsidP="00FD7D45">
      <w:pPr>
        <w:spacing w:before="60" w:after="120" w:line="360" w:lineRule="auto"/>
        <w:jc w:val="both"/>
        <w:rPr>
          <w:rFonts w:ascii="Calibri" w:hAnsi="Calibri" w:cs="Calibri"/>
          <w:sz w:val="24"/>
          <w:szCs w:val="24"/>
        </w:rPr>
      </w:pPr>
      <w:r w:rsidRPr="007466F9">
        <w:rPr>
          <w:rFonts w:ascii="Calibri" w:hAnsi="Calibri" w:cs="Calibri"/>
          <w:b/>
          <w:bCs/>
          <w:sz w:val="24"/>
          <w:szCs w:val="24"/>
        </w:rPr>
        <w:t>Incerteza</w:t>
      </w:r>
      <w:r w:rsidRPr="007466F9">
        <w:rPr>
          <w:rFonts w:ascii="Calibri" w:hAnsi="Calibri" w:cs="Calibri"/>
          <w:sz w:val="24"/>
          <w:szCs w:val="24"/>
        </w:rPr>
        <w:t>: circunstâncias que ocorrem devido a mudanças ambientais ou ocorrências de fatos que diminuem ou tiram a segurança processual.</w:t>
      </w:r>
    </w:p>
    <w:p w14:paraId="00C684FD" w14:textId="0C48F2E0" w:rsidR="00FD7D45" w:rsidRDefault="00FD7D45" w:rsidP="00FD7D45">
      <w:pPr>
        <w:spacing w:before="60" w:after="120" w:line="360" w:lineRule="auto"/>
        <w:jc w:val="both"/>
        <w:rPr>
          <w:rFonts w:ascii="Calibri" w:hAnsi="Calibri" w:cs="Calibri"/>
          <w:sz w:val="24"/>
          <w:szCs w:val="24"/>
        </w:rPr>
      </w:pPr>
      <w:r w:rsidRPr="007466F9">
        <w:rPr>
          <w:rFonts w:ascii="Calibri" w:hAnsi="Calibri" w:cs="Calibri"/>
          <w:b/>
          <w:bCs/>
          <w:sz w:val="24"/>
          <w:szCs w:val="24"/>
        </w:rPr>
        <w:t>Nível do risco</w:t>
      </w:r>
      <w:r w:rsidRPr="007466F9">
        <w:rPr>
          <w:rFonts w:ascii="Calibri" w:hAnsi="Calibri" w:cs="Calibri"/>
          <w:sz w:val="24"/>
          <w:szCs w:val="24"/>
        </w:rPr>
        <w:t>: medida da importância ou significância do risco, considerando a probabilidade de ocorrência do evento e seu impacto nos objetivos.</w:t>
      </w:r>
    </w:p>
    <w:p w14:paraId="659A3B96" w14:textId="18DA2CEE" w:rsidR="00532ADD" w:rsidRPr="00176470" w:rsidRDefault="00176470" w:rsidP="00FD7D45">
      <w:pPr>
        <w:spacing w:before="60" w:after="120" w:line="360" w:lineRule="auto"/>
        <w:jc w:val="both"/>
        <w:rPr>
          <w:rFonts w:ascii="Calibri" w:hAnsi="Calibri" w:cs="Calibri"/>
          <w:sz w:val="24"/>
          <w:szCs w:val="24"/>
        </w:rPr>
      </w:pPr>
      <w:r w:rsidRPr="00176470">
        <w:rPr>
          <w:rFonts w:ascii="Calibri" w:hAnsi="Calibri" w:cs="Calibri"/>
          <w:b/>
          <w:bCs/>
          <w:sz w:val="24"/>
          <w:szCs w:val="24"/>
        </w:rPr>
        <w:t>Partes Interessadas:</w:t>
      </w:r>
      <w:r>
        <w:rPr>
          <w:rFonts w:ascii="Calibri" w:hAnsi="Calibri" w:cs="Calibri"/>
          <w:b/>
          <w:bCs/>
          <w:sz w:val="24"/>
          <w:szCs w:val="24"/>
        </w:rPr>
        <w:t xml:space="preserve"> </w:t>
      </w:r>
      <w:r>
        <w:rPr>
          <w:rFonts w:ascii="Calibri" w:hAnsi="Calibri" w:cs="Calibri"/>
          <w:sz w:val="24"/>
          <w:szCs w:val="24"/>
        </w:rPr>
        <w:t>pessoa ou organização que pode afetar, ser afetada, ou perceber-se afetada por uma atividade da organização.</w:t>
      </w:r>
    </w:p>
    <w:p w14:paraId="5AE892F5" w14:textId="4B6C72B2" w:rsidR="00FD7D45" w:rsidRPr="007466F9" w:rsidRDefault="00FD7D45" w:rsidP="00FD7D45">
      <w:pPr>
        <w:spacing w:before="60" w:after="120" w:line="360" w:lineRule="auto"/>
        <w:jc w:val="both"/>
        <w:rPr>
          <w:rFonts w:ascii="Calibri" w:hAnsi="Calibri" w:cs="Calibri"/>
          <w:sz w:val="24"/>
          <w:szCs w:val="24"/>
        </w:rPr>
      </w:pPr>
      <w:r w:rsidRPr="007466F9">
        <w:rPr>
          <w:rFonts w:ascii="Calibri" w:hAnsi="Calibri" w:cs="Calibri"/>
          <w:b/>
          <w:bCs/>
          <w:sz w:val="24"/>
          <w:szCs w:val="24"/>
        </w:rPr>
        <w:t>Plano de Gestão de Riscos</w:t>
      </w:r>
      <w:r w:rsidRPr="007466F9">
        <w:rPr>
          <w:rFonts w:ascii="Calibri" w:hAnsi="Calibri" w:cs="Calibri"/>
          <w:sz w:val="24"/>
          <w:szCs w:val="24"/>
        </w:rPr>
        <w:t>: documento que aborda os processos definidos como prioritários para gerenciamento de riscos no período subsequente</w:t>
      </w:r>
      <w:r w:rsidR="00176470">
        <w:rPr>
          <w:rFonts w:ascii="Calibri" w:hAnsi="Calibri" w:cs="Calibri"/>
          <w:sz w:val="24"/>
          <w:szCs w:val="24"/>
        </w:rPr>
        <w:t>.</w:t>
      </w:r>
    </w:p>
    <w:p w14:paraId="275AB1ED" w14:textId="33ACAEE0" w:rsidR="00FD7D45" w:rsidRPr="007466F9" w:rsidRDefault="00FD7D45" w:rsidP="00FD7D45">
      <w:pPr>
        <w:spacing w:before="60" w:after="120" w:line="360" w:lineRule="auto"/>
        <w:jc w:val="both"/>
        <w:rPr>
          <w:rFonts w:ascii="Calibri" w:hAnsi="Calibri" w:cs="Calibri"/>
          <w:sz w:val="24"/>
          <w:szCs w:val="24"/>
        </w:rPr>
      </w:pPr>
      <w:r w:rsidRPr="007466F9">
        <w:rPr>
          <w:rFonts w:ascii="Calibri" w:hAnsi="Calibri" w:cs="Calibri"/>
          <w:b/>
          <w:bCs/>
          <w:sz w:val="24"/>
          <w:szCs w:val="24"/>
        </w:rPr>
        <w:t>Plano de Respostas aos Riscos</w:t>
      </w:r>
      <w:r w:rsidRPr="007466F9">
        <w:rPr>
          <w:rFonts w:ascii="Calibri" w:hAnsi="Calibri" w:cs="Calibri"/>
          <w:sz w:val="24"/>
          <w:szCs w:val="24"/>
        </w:rPr>
        <w:t>: documento que contém o conjunto de ações necessárias para adequar os níveis de riscos de determinado processo, considerando o custo-benefício da implantação dos controles</w:t>
      </w:r>
      <w:r w:rsidR="00176470">
        <w:rPr>
          <w:rFonts w:ascii="Calibri" w:hAnsi="Calibri" w:cs="Calibri"/>
          <w:sz w:val="24"/>
          <w:szCs w:val="24"/>
        </w:rPr>
        <w:t>.</w:t>
      </w:r>
    </w:p>
    <w:p w14:paraId="5D6885C5" w14:textId="77777777" w:rsidR="00FD7D45" w:rsidRPr="007466F9" w:rsidRDefault="00FD7D45" w:rsidP="00FD7D45">
      <w:pPr>
        <w:spacing w:before="60" w:after="120" w:line="360" w:lineRule="auto"/>
        <w:jc w:val="both"/>
        <w:rPr>
          <w:rFonts w:ascii="Calibri" w:hAnsi="Calibri" w:cs="Calibri"/>
          <w:sz w:val="24"/>
          <w:szCs w:val="24"/>
        </w:rPr>
      </w:pPr>
      <w:r w:rsidRPr="007466F9">
        <w:rPr>
          <w:rFonts w:ascii="Calibri" w:hAnsi="Calibri" w:cs="Calibri"/>
          <w:b/>
          <w:bCs/>
          <w:sz w:val="24"/>
          <w:szCs w:val="24"/>
        </w:rPr>
        <w:t>Risco:</w:t>
      </w:r>
      <w:r w:rsidRPr="007466F9">
        <w:rPr>
          <w:rFonts w:ascii="Calibri" w:hAnsi="Calibri" w:cs="Calibri"/>
          <w:sz w:val="24"/>
          <w:szCs w:val="24"/>
        </w:rPr>
        <w:t xml:space="preserve"> possibilidade de ocorrência de um evento que poderá impactar o cumprimento dos objetivos institucionais.</w:t>
      </w:r>
    </w:p>
    <w:p w14:paraId="0DE0CB02" w14:textId="40EDDB5B" w:rsidR="00FD7D45" w:rsidRPr="007466F9" w:rsidRDefault="00FD7D45" w:rsidP="00FD7D45">
      <w:pPr>
        <w:spacing w:before="60" w:after="120" w:line="360" w:lineRule="auto"/>
        <w:jc w:val="both"/>
        <w:rPr>
          <w:rFonts w:ascii="Calibri" w:hAnsi="Calibri" w:cs="Calibri"/>
          <w:sz w:val="24"/>
          <w:szCs w:val="24"/>
        </w:rPr>
      </w:pPr>
      <w:r w:rsidRPr="007466F9">
        <w:rPr>
          <w:rFonts w:ascii="Calibri" w:hAnsi="Calibri" w:cs="Calibri"/>
          <w:b/>
          <w:sz w:val="24"/>
          <w:szCs w:val="24"/>
        </w:rPr>
        <w:t>Reuniões (</w:t>
      </w:r>
      <w:r w:rsidRPr="007466F9">
        <w:rPr>
          <w:rFonts w:ascii="Calibri" w:hAnsi="Calibri" w:cs="Calibri"/>
          <w:b/>
          <w:i/>
          <w:iCs/>
          <w:sz w:val="24"/>
          <w:szCs w:val="24"/>
        </w:rPr>
        <w:t>Brainstorming</w:t>
      </w:r>
      <w:r w:rsidRPr="007466F9">
        <w:rPr>
          <w:rFonts w:ascii="Calibri" w:hAnsi="Calibri" w:cs="Calibri"/>
          <w:b/>
          <w:sz w:val="24"/>
          <w:szCs w:val="24"/>
        </w:rPr>
        <w:t xml:space="preserve">): </w:t>
      </w:r>
      <w:r w:rsidRPr="007466F9">
        <w:rPr>
          <w:rFonts w:ascii="Calibri" w:hAnsi="Calibri" w:cs="Calibri"/>
          <w:sz w:val="24"/>
          <w:szCs w:val="24"/>
        </w:rPr>
        <w:t xml:space="preserve">tem por objetivo estimular e </w:t>
      </w:r>
      <w:r w:rsidR="00FF43F1" w:rsidRPr="007466F9">
        <w:rPr>
          <w:rFonts w:ascii="Calibri" w:hAnsi="Calibri" w:cs="Calibri"/>
          <w:sz w:val="24"/>
          <w:szCs w:val="24"/>
        </w:rPr>
        <w:t>incentivar</w:t>
      </w:r>
      <w:r w:rsidRPr="007466F9">
        <w:rPr>
          <w:rFonts w:ascii="Calibri" w:hAnsi="Calibri" w:cs="Calibri"/>
          <w:sz w:val="24"/>
          <w:szCs w:val="24"/>
        </w:rPr>
        <w:t xml:space="preserve"> o livre fluxo de geração de ideias possíveis sobre determinado assunto. Neste método, os principais atores envolvidos no processo reúnem-se para apresentar suas ideias, tendo por objetivo contribuir na identificação de falhas potenciais e os</w:t>
      </w:r>
      <w:r w:rsidRPr="007466F9">
        <w:rPr>
          <w:rFonts w:ascii="Calibri" w:hAnsi="Calibri" w:cs="Calibri"/>
          <w:spacing w:val="1"/>
          <w:sz w:val="24"/>
          <w:szCs w:val="24"/>
        </w:rPr>
        <w:t xml:space="preserve"> </w:t>
      </w:r>
      <w:r w:rsidRPr="007466F9">
        <w:rPr>
          <w:rFonts w:ascii="Calibri" w:hAnsi="Calibri" w:cs="Calibri"/>
          <w:sz w:val="24"/>
          <w:szCs w:val="24"/>
        </w:rPr>
        <w:t>riscos associados.</w:t>
      </w:r>
    </w:p>
    <w:p w14:paraId="03D8C98C" w14:textId="77777777" w:rsidR="00FD7D45" w:rsidRPr="007466F9" w:rsidRDefault="00FD7D45" w:rsidP="00FD7D45">
      <w:pPr>
        <w:spacing w:before="60" w:after="120" w:line="360" w:lineRule="auto"/>
        <w:jc w:val="both"/>
        <w:rPr>
          <w:rFonts w:ascii="Calibri" w:hAnsi="Calibri" w:cs="Calibri"/>
          <w:sz w:val="24"/>
          <w:szCs w:val="24"/>
        </w:rPr>
      </w:pPr>
      <w:r w:rsidRPr="007466F9">
        <w:rPr>
          <w:rFonts w:ascii="Calibri" w:hAnsi="Calibri" w:cs="Calibri"/>
          <w:b/>
          <w:bCs/>
          <w:sz w:val="24"/>
          <w:szCs w:val="24"/>
        </w:rPr>
        <w:t>Risco Estratégico</w:t>
      </w:r>
      <w:r w:rsidRPr="007466F9">
        <w:rPr>
          <w:rFonts w:ascii="Calibri" w:hAnsi="Calibri" w:cs="Calibri"/>
          <w:sz w:val="24"/>
          <w:szCs w:val="24"/>
        </w:rPr>
        <w:t>: risco associado à possibilidade de perda resultante do insucesso das estratégias adotadas, levando-se em conta a dinâmica da atuação (sociedade, fornecedores e orçamento) e as alterações políticas e econômicas no País e fora dele, ou seja, qualquer incerteza que afeta a realização das diretrizes estratégicas. A gestão dos riscos estratégicos passa a ser elemento-chave para o sucesso e a sobrevivência das organizações; é essencial que os riscos estratégicos sejam identificados, avaliados e monitorados, e que a organização esteja preparada para mitigá-los.</w:t>
      </w:r>
    </w:p>
    <w:p w14:paraId="2EB8ADB8" w14:textId="512130AB" w:rsidR="00FD7D45" w:rsidRPr="007466F9" w:rsidRDefault="00FD7D45" w:rsidP="00FD7D45">
      <w:pPr>
        <w:spacing w:before="60" w:after="120" w:line="360" w:lineRule="auto"/>
        <w:jc w:val="both"/>
        <w:rPr>
          <w:rFonts w:ascii="Calibri" w:hAnsi="Calibri" w:cs="Calibri"/>
          <w:sz w:val="24"/>
          <w:szCs w:val="24"/>
        </w:rPr>
      </w:pPr>
      <w:r w:rsidRPr="007466F9">
        <w:rPr>
          <w:rFonts w:ascii="Calibri" w:hAnsi="Calibri" w:cs="Calibri"/>
          <w:b/>
          <w:bCs/>
          <w:sz w:val="24"/>
          <w:szCs w:val="24"/>
        </w:rPr>
        <w:t>Risco</w:t>
      </w:r>
      <w:r w:rsidR="00355B14">
        <w:rPr>
          <w:rFonts w:ascii="Calibri" w:hAnsi="Calibri" w:cs="Calibri"/>
          <w:b/>
          <w:bCs/>
          <w:sz w:val="24"/>
          <w:szCs w:val="24"/>
        </w:rPr>
        <w:t xml:space="preserve"> </w:t>
      </w:r>
      <w:r w:rsidRPr="007466F9">
        <w:rPr>
          <w:rFonts w:ascii="Calibri" w:hAnsi="Calibri" w:cs="Calibri"/>
          <w:b/>
          <w:bCs/>
          <w:sz w:val="24"/>
          <w:szCs w:val="24"/>
        </w:rPr>
        <w:t>Financeiro/Orçamentário:</w:t>
      </w:r>
      <w:r w:rsidRPr="007466F9">
        <w:rPr>
          <w:rFonts w:ascii="Calibri" w:hAnsi="Calibri" w:cs="Calibri"/>
          <w:color w:val="FF0000"/>
          <w:sz w:val="24"/>
          <w:szCs w:val="24"/>
        </w:rPr>
        <w:t xml:space="preserve"> </w:t>
      </w:r>
      <w:r w:rsidRPr="007466F9">
        <w:rPr>
          <w:rFonts w:ascii="Calibri" w:hAnsi="Calibri" w:cs="Calibri"/>
          <w:sz w:val="24"/>
          <w:szCs w:val="24"/>
        </w:rPr>
        <w:t>eventos que podem comprometer a capacidade do Ministério da Saúde de contar com os recursos orçamentários e financeiros necessários à realização de suas atividades.</w:t>
      </w:r>
    </w:p>
    <w:p w14:paraId="7DED259C" w14:textId="77777777" w:rsidR="00FD7D45" w:rsidRPr="007466F9" w:rsidRDefault="00FD7D45" w:rsidP="00FD7D45">
      <w:pPr>
        <w:spacing w:before="60" w:after="120" w:line="360" w:lineRule="auto"/>
        <w:jc w:val="both"/>
        <w:rPr>
          <w:rFonts w:ascii="Calibri" w:hAnsi="Calibri" w:cs="Calibri"/>
          <w:sz w:val="24"/>
          <w:szCs w:val="24"/>
        </w:rPr>
      </w:pPr>
      <w:r w:rsidRPr="007466F9">
        <w:rPr>
          <w:rFonts w:ascii="Calibri" w:hAnsi="Calibri" w:cs="Calibri"/>
          <w:b/>
          <w:bCs/>
          <w:sz w:val="24"/>
          <w:szCs w:val="24"/>
        </w:rPr>
        <w:t>Risco Fraude</w:t>
      </w:r>
      <w:r w:rsidRPr="007466F9">
        <w:rPr>
          <w:rFonts w:ascii="Calibri" w:hAnsi="Calibri" w:cs="Calibri"/>
          <w:sz w:val="24"/>
          <w:szCs w:val="24"/>
        </w:rPr>
        <w:t xml:space="preserve">: </w:t>
      </w:r>
      <w:r w:rsidRPr="007466F9">
        <w:rPr>
          <w:rFonts w:ascii="Calibri" w:hAnsi="Calibri" w:cs="Calibri"/>
          <w:color w:val="FF0000"/>
          <w:sz w:val="24"/>
          <w:szCs w:val="24"/>
        </w:rPr>
        <w:t>verificar o melhor conceito</w:t>
      </w:r>
      <w:r w:rsidRPr="007466F9">
        <w:rPr>
          <w:rFonts w:ascii="Calibri" w:hAnsi="Calibri" w:cs="Calibri"/>
          <w:sz w:val="24"/>
          <w:szCs w:val="24"/>
        </w:rPr>
        <w:t>.</w:t>
      </w:r>
    </w:p>
    <w:p w14:paraId="0DC8D39A" w14:textId="685E038F" w:rsidR="00FD7D45" w:rsidRPr="00355B14" w:rsidRDefault="00FD7D45" w:rsidP="00B146C5">
      <w:pPr>
        <w:spacing w:before="60" w:after="120" w:line="360" w:lineRule="auto"/>
        <w:jc w:val="both"/>
        <w:rPr>
          <w:rFonts w:ascii="Calibri" w:hAnsi="Calibri" w:cs="Calibri"/>
          <w:color w:val="FF0000"/>
          <w:sz w:val="24"/>
          <w:szCs w:val="24"/>
        </w:rPr>
      </w:pPr>
      <w:r w:rsidRPr="00355B14">
        <w:rPr>
          <w:rFonts w:ascii="Calibri" w:hAnsi="Calibri" w:cs="Calibri"/>
          <w:b/>
          <w:bCs/>
          <w:color w:val="FF0000"/>
          <w:sz w:val="24"/>
          <w:szCs w:val="24"/>
        </w:rPr>
        <w:t>Risco Integridade</w:t>
      </w:r>
      <w:r w:rsidRPr="00355B14">
        <w:rPr>
          <w:rFonts w:ascii="Calibri" w:hAnsi="Calibri" w:cs="Calibri"/>
          <w:color w:val="FF0000"/>
          <w:sz w:val="24"/>
          <w:szCs w:val="24"/>
        </w:rPr>
        <w:t xml:space="preserve">: </w:t>
      </w:r>
      <w:r w:rsidR="00B146C5" w:rsidRPr="00355B14">
        <w:rPr>
          <w:rFonts w:ascii="Calibri" w:hAnsi="Calibri" w:cs="Calibri"/>
          <w:color w:val="FF0000"/>
          <w:sz w:val="24"/>
          <w:szCs w:val="24"/>
        </w:rPr>
        <w:t>pode ser definido como uma vulnerabilidade que</w:t>
      </w:r>
      <w:r w:rsidR="00B146C5" w:rsidRPr="00355B14">
        <w:rPr>
          <w:rFonts w:ascii="Calibri" w:hAnsi="Calibri" w:cs="Calibri"/>
          <w:color w:val="FF0000"/>
          <w:sz w:val="24"/>
          <w:szCs w:val="24"/>
        </w:rPr>
        <w:t xml:space="preserve"> </w:t>
      </w:r>
      <w:r w:rsidR="00B146C5" w:rsidRPr="00355B14">
        <w:rPr>
          <w:rFonts w:ascii="Calibri" w:hAnsi="Calibri" w:cs="Calibri"/>
          <w:color w:val="FF0000"/>
          <w:sz w:val="24"/>
          <w:szCs w:val="24"/>
        </w:rPr>
        <w:t>possibilite favorecer ou facilitar a ocorrência de práticas de corrupção, fraudes,</w:t>
      </w:r>
      <w:r w:rsidR="00B146C5" w:rsidRPr="00355B14">
        <w:rPr>
          <w:rFonts w:ascii="Calibri" w:hAnsi="Calibri" w:cs="Calibri"/>
          <w:color w:val="FF0000"/>
          <w:sz w:val="24"/>
          <w:szCs w:val="24"/>
        </w:rPr>
        <w:t xml:space="preserve"> </w:t>
      </w:r>
      <w:r w:rsidR="00B146C5" w:rsidRPr="00355B14">
        <w:rPr>
          <w:rFonts w:ascii="Calibri" w:hAnsi="Calibri" w:cs="Calibri"/>
          <w:color w:val="FF0000"/>
          <w:sz w:val="24"/>
          <w:szCs w:val="24"/>
        </w:rPr>
        <w:t>irregularidades e/ou desvios éticos e de conduta, podendo comprometer os</w:t>
      </w:r>
      <w:r w:rsidR="00B146C5" w:rsidRPr="00355B14">
        <w:rPr>
          <w:rFonts w:ascii="Calibri" w:hAnsi="Calibri" w:cs="Calibri"/>
          <w:color w:val="FF0000"/>
          <w:sz w:val="24"/>
          <w:szCs w:val="24"/>
        </w:rPr>
        <w:t xml:space="preserve"> </w:t>
      </w:r>
      <w:r w:rsidR="00B146C5" w:rsidRPr="00355B14">
        <w:rPr>
          <w:rFonts w:ascii="Calibri" w:hAnsi="Calibri" w:cs="Calibri"/>
          <w:color w:val="FF0000"/>
          <w:sz w:val="24"/>
          <w:szCs w:val="24"/>
        </w:rPr>
        <w:t>objetivos da instituição (Portaria CGU n. 57/2019).</w:t>
      </w:r>
    </w:p>
    <w:p w14:paraId="79BB6C6C" w14:textId="54514EDF" w:rsidR="00355B14" w:rsidRPr="00355B14" w:rsidRDefault="00355B14" w:rsidP="00355B14">
      <w:pPr>
        <w:spacing w:before="60" w:after="120" w:line="360" w:lineRule="auto"/>
        <w:jc w:val="both"/>
        <w:rPr>
          <w:rFonts w:ascii="Calibri" w:hAnsi="Calibri" w:cs="Calibri"/>
          <w:color w:val="FF0000"/>
          <w:sz w:val="24"/>
          <w:szCs w:val="24"/>
        </w:rPr>
      </w:pPr>
      <w:r w:rsidRPr="00355B14">
        <w:rPr>
          <w:rFonts w:ascii="Calibri" w:hAnsi="Calibri" w:cs="Calibri"/>
          <w:b/>
          <w:bCs/>
          <w:color w:val="FF0000"/>
          <w:sz w:val="24"/>
          <w:szCs w:val="24"/>
        </w:rPr>
        <w:t>Risco de Integridade</w:t>
      </w:r>
      <w:r w:rsidRPr="00355B14">
        <w:rPr>
          <w:rFonts w:ascii="Calibri" w:hAnsi="Calibri" w:cs="Calibri"/>
          <w:color w:val="FF0000"/>
          <w:sz w:val="24"/>
          <w:szCs w:val="24"/>
        </w:rPr>
        <w:t xml:space="preserve">: </w:t>
      </w:r>
      <w:r w:rsidRPr="00355B14">
        <w:rPr>
          <w:rFonts w:ascii="Calibri" w:hAnsi="Calibri" w:cs="Calibri"/>
          <w:color w:val="FF0000"/>
          <w:sz w:val="24"/>
          <w:szCs w:val="24"/>
        </w:rPr>
        <w:t>são vulnerabilidades que</w:t>
      </w:r>
      <w:r w:rsidRPr="00355B14">
        <w:rPr>
          <w:rFonts w:ascii="Calibri" w:hAnsi="Calibri" w:cs="Calibri"/>
          <w:color w:val="FF0000"/>
          <w:sz w:val="24"/>
          <w:szCs w:val="24"/>
        </w:rPr>
        <w:t xml:space="preserve"> </w:t>
      </w:r>
      <w:r w:rsidRPr="00355B14">
        <w:rPr>
          <w:rFonts w:ascii="Calibri" w:hAnsi="Calibri" w:cs="Calibri"/>
          <w:color w:val="FF0000"/>
          <w:sz w:val="24"/>
          <w:szCs w:val="24"/>
        </w:rPr>
        <w:t>podem favorecer ou facilitar</w:t>
      </w:r>
      <w:r w:rsidRPr="00355B14">
        <w:rPr>
          <w:rFonts w:ascii="Calibri" w:hAnsi="Calibri" w:cs="Calibri"/>
          <w:color w:val="FF0000"/>
          <w:sz w:val="24"/>
          <w:szCs w:val="24"/>
        </w:rPr>
        <w:t xml:space="preserve"> </w:t>
      </w:r>
      <w:r w:rsidRPr="00355B14">
        <w:rPr>
          <w:rFonts w:ascii="Calibri" w:hAnsi="Calibri" w:cs="Calibri"/>
          <w:color w:val="FF0000"/>
          <w:sz w:val="24"/>
          <w:szCs w:val="24"/>
        </w:rPr>
        <w:t>a ocorrência de práticas</w:t>
      </w:r>
      <w:r w:rsidRPr="00355B14">
        <w:rPr>
          <w:rFonts w:ascii="Calibri" w:hAnsi="Calibri" w:cs="Calibri"/>
          <w:color w:val="FF0000"/>
          <w:sz w:val="24"/>
          <w:szCs w:val="24"/>
        </w:rPr>
        <w:t xml:space="preserve"> </w:t>
      </w:r>
      <w:r w:rsidRPr="00355B14">
        <w:rPr>
          <w:rFonts w:ascii="Calibri" w:hAnsi="Calibri" w:cs="Calibri"/>
          <w:color w:val="FF0000"/>
          <w:sz w:val="24"/>
          <w:szCs w:val="24"/>
        </w:rPr>
        <w:t>de corrupção, fraudes,</w:t>
      </w:r>
      <w:r w:rsidRPr="00355B14">
        <w:rPr>
          <w:rFonts w:ascii="Calibri" w:hAnsi="Calibri" w:cs="Calibri"/>
          <w:color w:val="FF0000"/>
          <w:sz w:val="24"/>
          <w:szCs w:val="24"/>
        </w:rPr>
        <w:t xml:space="preserve"> </w:t>
      </w:r>
      <w:r w:rsidRPr="00355B14">
        <w:rPr>
          <w:rFonts w:ascii="Calibri" w:hAnsi="Calibri" w:cs="Calibri"/>
          <w:color w:val="FF0000"/>
          <w:sz w:val="24"/>
          <w:szCs w:val="24"/>
        </w:rPr>
        <w:t>irregularidades e/ou</w:t>
      </w:r>
      <w:r w:rsidRPr="00355B14">
        <w:rPr>
          <w:rFonts w:ascii="Calibri" w:hAnsi="Calibri" w:cs="Calibri"/>
          <w:color w:val="FF0000"/>
          <w:sz w:val="24"/>
          <w:szCs w:val="24"/>
        </w:rPr>
        <w:t xml:space="preserve"> </w:t>
      </w:r>
      <w:r w:rsidRPr="00355B14">
        <w:rPr>
          <w:rFonts w:ascii="Calibri" w:hAnsi="Calibri" w:cs="Calibri"/>
          <w:color w:val="FF0000"/>
          <w:sz w:val="24"/>
          <w:szCs w:val="24"/>
        </w:rPr>
        <w:t>desvios éticos e de conduta,</w:t>
      </w:r>
      <w:r w:rsidRPr="00355B14">
        <w:rPr>
          <w:rFonts w:ascii="Calibri" w:hAnsi="Calibri" w:cs="Calibri"/>
          <w:color w:val="FF0000"/>
          <w:sz w:val="24"/>
          <w:szCs w:val="24"/>
        </w:rPr>
        <w:t xml:space="preserve"> </w:t>
      </w:r>
      <w:r w:rsidRPr="00355B14">
        <w:rPr>
          <w:rFonts w:ascii="Calibri" w:hAnsi="Calibri" w:cs="Calibri"/>
          <w:color w:val="FF0000"/>
          <w:sz w:val="24"/>
          <w:szCs w:val="24"/>
        </w:rPr>
        <w:t>podendo comprometer os</w:t>
      </w:r>
      <w:r w:rsidRPr="00355B14">
        <w:rPr>
          <w:rFonts w:ascii="Calibri" w:hAnsi="Calibri" w:cs="Calibri"/>
          <w:color w:val="FF0000"/>
          <w:sz w:val="24"/>
          <w:szCs w:val="24"/>
        </w:rPr>
        <w:t xml:space="preserve"> </w:t>
      </w:r>
      <w:r w:rsidRPr="00355B14">
        <w:rPr>
          <w:rFonts w:ascii="Calibri" w:hAnsi="Calibri" w:cs="Calibri"/>
          <w:color w:val="FF0000"/>
          <w:sz w:val="24"/>
          <w:szCs w:val="24"/>
        </w:rPr>
        <w:t>objetivos da instituição</w:t>
      </w:r>
      <w:r w:rsidRPr="00355B14">
        <w:rPr>
          <w:rFonts w:ascii="Calibri" w:hAnsi="Calibri" w:cs="Calibri"/>
          <w:color w:val="FF0000"/>
          <w:sz w:val="24"/>
          <w:szCs w:val="24"/>
        </w:rPr>
        <w:t>.</w:t>
      </w:r>
    </w:p>
    <w:p w14:paraId="6C6A6D38" w14:textId="77777777" w:rsidR="00FD7D45" w:rsidRPr="007466F9" w:rsidRDefault="00FD7D45" w:rsidP="00FD7D45">
      <w:pPr>
        <w:spacing w:before="60" w:after="120" w:line="360" w:lineRule="auto"/>
        <w:jc w:val="both"/>
        <w:rPr>
          <w:rFonts w:ascii="Calibri" w:hAnsi="Calibri" w:cs="Calibri"/>
          <w:sz w:val="24"/>
          <w:szCs w:val="24"/>
        </w:rPr>
      </w:pPr>
      <w:r w:rsidRPr="007466F9">
        <w:rPr>
          <w:rFonts w:ascii="Calibri" w:hAnsi="Calibri" w:cs="Calibri"/>
          <w:b/>
          <w:bCs/>
          <w:sz w:val="24"/>
          <w:szCs w:val="24"/>
        </w:rPr>
        <w:t>Risco Operacional</w:t>
      </w:r>
      <w:r w:rsidRPr="007466F9">
        <w:rPr>
          <w:rFonts w:ascii="Calibri" w:hAnsi="Calibri" w:cs="Calibri"/>
          <w:sz w:val="24"/>
          <w:szCs w:val="24"/>
        </w:rPr>
        <w:t>: risco associado a possibilidade de perdas diretas ou indiretas resultantes de processos internos inadequados ou falhos, da existência de recursos humanos insuficientes ou inadequados, sistemas ou eventos externos. O risco lega/conformidade, associado à possibilidade de violações ou do não cumprimento de leis, normas, regulamentos, contratos, códigos de conduta e integridade, políticas e normas internas ou princípios éticos são incorporados à categoria do risco operacional.</w:t>
      </w:r>
    </w:p>
    <w:p w14:paraId="49ECF8FA" w14:textId="77777777" w:rsidR="00FD7D45" w:rsidRPr="007466F9" w:rsidRDefault="00FD7D45" w:rsidP="00FD7D45">
      <w:pPr>
        <w:spacing w:before="60" w:after="120" w:line="360" w:lineRule="auto"/>
        <w:jc w:val="both"/>
        <w:rPr>
          <w:rFonts w:ascii="Calibri" w:hAnsi="Calibri" w:cs="Calibri"/>
          <w:sz w:val="24"/>
          <w:szCs w:val="24"/>
        </w:rPr>
      </w:pPr>
      <w:r w:rsidRPr="007466F9">
        <w:rPr>
          <w:rFonts w:ascii="Calibri" w:hAnsi="Calibri" w:cs="Calibri"/>
          <w:b/>
          <w:bCs/>
          <w:sz w:val="24"/>
          <w:szCs w:val="24"/>
        </w:rPr>
        <w:t>Risco Reputação</w:t>
      </w:r>
      <w:r w:rsidRPr="007466F9">
        <w:rPr>
          <w:rFonts w:ascii="Calibri" w:hAnsi="Calibri" w:cs="Calibri"/>
          <w:sz w:val="24"/>
          <w:szCs w:val="24"/>
        </w:rPr>
        <w:t>/</w:t>
      </w:r>
      <w:r w:rsidRPr="007466F9">
        <w:rPr>
          <w:rFonts w:ascii="Calibri" w:hAnsi="Calibri" w:cs="Calibri"/>
          <w:b/>
          <w:bCs/>
          <w:sz w:val="24"/>
          <w:szCs w:val="24"/>
        </w:rPr>
        <w:t>Imagem</w:t>
      </w:r>
      <w:r w:rsidRPr="007466F9">
        <w:rPr>
          <w:rFonts w:ascii="Calibri" w:hAnsi="Calibri" w:cs="Calibri"/>
          <w:sz w:val="24"/>
          <w:szCs w:val="24"/>
        </w:rPr>
        <w:t>: risco associado à possibilidade de uma percepção negativa da imagem pública da organização, fundamentada ou não, por parte de reguladores, clientes, fornecedores, analistas financeiros, colaboradores, investidores, órgãos de imprensa ou pela opinião pública em geral.</w:t>
      </w:r>
    </w:p>
    <w:p w14:paraId="5E97F0F7" w14:textId="77777777" w:rsidR="00FD7D45" w:rsidRPr="007466F9" w:rsidRDefault="00FD7D45" w:rsidP="00FD7D45">
      <w:pPr>
        <w:rPr>
          <w:rFonts w:ascii="Calibri" w:hAnsi="Calibri" w:cs="Calibri"/>
          <w:color w:val="212121"/>
          <w:sz w:val="24"/>
          <w:szCs w:val="24"/>
        </w:rPr>
      </w:pPr>
      <w:r w:rsidRPr="007466F9">
        <w:rPr>
          <w:rFonts w:ascii="Calibri" w:hAnsi="Calibri" w:cs="Calibri"/>
          <w:color w:val="212121"/>
          <w:sz w:val="24"/>
          <w:szCs w:val="24"/>
        </w:rPr>
        <w:br w:type="page"/>
      </w:r>
    </w:p>
    <w:p w14:paraId="06041CEF" w14:textId="77777777" w:rsidR="00FD7D45" w:rsidRPr="00E16328" w:rsidRDefault="00FD7D45" w:rsidP="00FD7D45">
      <w:pPr>
        <w:pStyle w:val="Ttulo1"/>
        <w:spacing w:before="120" w:after="120"/>
        <w:ind w:left="0"/>
        <w:rPr>
          <w:rFonts w:ascii="Calibri" w:hAnsi="Calibri" w:cs="Calibri"/>
          <w:b/>
          <w:bCs/>
          <w:sz w:val="24"/>
          <w:szCs w:val="24"/>
        </w:rPr>
      </w:pPr>
      <w:bookmarkStart w:id="28" w:name="_Toc74468871"/>
      <w:r w:rsidRPr="00E16328">
        <w:rPr>
          <w:rFonts w:ascii="Calibri" w:hAnsi="Calibri" w:cs="Calibri"/>
          <w:b/>
          <w:bCs/>
          <w:sz w:val="24"/>
          <w:szCs w:val="24"/>
        </w:rPr>
        <w:t>APÊNDICE 1 - Método de Priorização de Processos</w:t>
      </w:r>
      <w:bookmarkEnd w:id="28"/>
    </w:p>
    <w:p w14:paraId="66D6B132" w14:textId="77777777" w:rsidR="00FD7D45" w:rsidRPr="00E16328" w:rsidRDefault="00FD7D45" w:rsidP="00FD7D45">
      <w:pPr>
        <w:pStyle w:val="Ttulo1"/>
        <w:spacing w:before="120" w:after="120"/>
        <w:ind w:left="0"/>
        <w:rPr>
          <w:rFonts w:ascii="Calibri" w:hAnsi="Calibri" w:cs="Calibri"/>
          <w:color w:val="2D74B5"/>
          <w:sz w:val="24"/>
          <w:szCs w:val="24"/>
        </w:rPr>
      </w:pPr>
    </w:p>
    <w:bookmarkStart w:id="29" w:name="_Toc467504697"/>
    <w:bookmarkStart w:id="30" w:name="_Toc470192391"/>
    <w:bookmarkStart w:id="31" w:name="_Toc471466678"/>
    <w:bookmarkStart w:id="32" w:name="_Toc68090948"/>
    <w:bookmarkStart w:id="33" w:name="_Toc68936891"/>
    <w:bookmarkStart w:id="34" w:name="_Toc68937077"/>
    <w:bookmarkStart w:id="35" w:name="_Toc74391112"/>
    <w:bookmarkStart w:id="36" w:name="_Toc74468872"/>
    <w:p w14:paraId="5558CA17" w14:textId="77777777" w:rsidR="00FD7D45" w:rsidRPr="0054603E" w:rsidRDefault="00FD7D45" w:rsidP="00586858">
      <w:pPr>
        <w:pStyle w:val="Ttulo1"/>
        <w:widowControl/>
        <w:numPr>
          <w:ilvl w:val="0"/>
          <w:numId w:val="2"/>
        </w:numPr>
        <w:autoSpaceDE/>
        <w:autoSpaceDN/>
        <w:spacing w:before="60" w:after="120" w:line="360" w:lineRule="auto"/>
        <w:rPr>
          <w:rFonts w:ascii="Calibri" w:hAnsi="Calibri" w:cs="Calibri"/>
          <w:sz w:val="24"/>
          <w:szCs w:val="24"/>
        </w:rPr>
      </w:pPr>
      <w:r w:rsidRPr="0054603E">
        <w:rPr>
          <w:rFonts w:ascii="Calibri" w:hAnsi="Calibri" w:cs="Calibri"/>
          <w:noProof/>
          <w:sz w:val="24"/>
          <w:szCs w:val="24"/>
          <w:lang w:eastAsia="pt-BR"/>
        </w:rPr>
        <mc:AlternateContent>
          <mc:Choice Requires="wpg">
            <w:drawing>
              <wp:anchor distT="0" distB="0" distL="114300" distR="114300" simplePos="0" relativeHeight="251670528" behindDoc="0" locked="0" layoutInCell="1" allowOverlap="1" wp14:anchorId="503B31A1" wp14:editId="09EBE082">
                <wp:simplePos x="0" y="0"/>
                <mc:AlternateContent>
                  <mc:Choice Requires="wp14">
                    <wp:positionH relativeFrom="margin">
                      <wp14:pctPosHOffset>77000</wp14:pctPosHOffset>
                    </wp:positionH>
                  </mc:Choice>
                  <mc:Fallback>
                    <wp:positionH relativeFrom="page">
                      <wp:posOffset>5334635</wp:posOffset>
                    </wp:positionH>
                  </mc:Fallback>
                </mc:AlternateContent>
                <wp:positionV relativeFrom="bottomMargin">
                  <wp:posOffset>9144000</wp:posOffset>
                </wp:positionV>
                <wp:extent cx="548640" cy="548640"/>
                <wp:effectExtent l="3810" t="1270" r="0" b="2540"/>
                <wp:wrapNone/>
                <wp:docPr id="7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1"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2"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1E36E1" id="Group 62" o:spid="_x0000_s1026" style="position:absolute;margin-left:0;margin-top:10in;width:43.2pt;height:43.2pt;z-index:25167052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w10:wrap anchorx="margin" anchory="margin"/>
              </v:group>
            </w:pict>
          </mc:Fallback>
        </mc:AlternateContent>
      </w:r>
      <w:r w:rsidRPr="0054603E">
        <w:rPr>
          <w:rFonts w:ascii="Calibri" w:hAnsi="Calibri" w:cs="Calibri"/>
          <w:noProof/>
          <w:sz w:val="24"/>
          <w:szCs w:val="24"/>
          <w:lang w:eastAsia="pt-BR"/>
        </w:rPr>
        <mc:AlternateContent>
          <mc:Choice Requires="wpg">
            <w:drawing>
              <wp:anchor distT="0" distB="0" distL="114300" distR="114300" simplePos="0" relativeHeight="251671552" behindDoc="0" locked="0" layoutInCell="1" allowOverlap="1" wp14:anchorId="391087BC" wp14:editId="4A340D17">
                <wp:simplePos x="0" y="0"/>
                <mc:AlternateContent>
                  <mc:Choice Requires="wp14">
                    <wp:positionH relativeFrom="margin">
                      <wp14:pctPosHOffset>77000</wp14:pctPosHOffset>
                    </wp:positionH>
                  </mc:Choice>
                  <mc:Fallback>
                    <wp:positionH relativeFrom="page">
                      <wp:posOffset>5334635</wp:posOffset>
                    </wp:positionH>
                  </mc:Fallback>
                </mc:AlternateContent>
                <wp:positionV relativeFrom="bottomMargin">
                  <wp:posOffset>9144000</wp:posOffset>
                </wp:positionV>
                <wp:extent cx="548640" cy="548640"/>
                <wp:effectExtent l="3810" t="1270" r="0" b="2540"/>
                <wp:wrapNone/>
                <wp:docPr id="6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8"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9"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F3B90E" id="Group 59" o:spid="_x0000_s1026" style="position:absolute;margin-left:0;margin-top:10in;width:43.2pt;height:43.2pt;z-index:25167155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" filled="f" stroked="f"/>
                <w10:wrap anchorx="margin" anchory="margin"/>
              </v:group>
            </w:pict>
          </mc:Fallback>
        </mc:AlternateContent>
      </w:r>
      <w:r w:rsidRPr="0054603E">
        <w:rPr>
          <w:rFonts w:ascii="Calibri" w:hAnsi="Calibri" w:cs="Calibri"/>
          <w:noProof/>
          <w:sz w:val="24"/>
          <w:szCs w:val="24"/>
          <w:lang w:eastAsia="pt-BR"/>
        </w:rPr>
        <mc:AlternateContent>
          <mc:Choice Requires="wpg">
            <w:drawing>
              <wp:anchor distT="0" distB="0" distL="114300" distR="114300" simplePos="0" relativeHeight="251672576" behindDoc="0" locked="0" layoutInCell="1" allowOverlap="1" wp14:anchorId="49E7045F" wp14:editId="3E9F8242">
                <wp:simplePos x="0" y="0"/>
                <mc:AlternateContent>
                  <mc:Choice Requires="wp14">
                    <wp:positionH relativeFrom="margin">
                      <wp14:pctPosHOffset>77000</wp14:pctPosHOffset>
                    </wp:positionH>
                  </mc:Choice>
                  <mc:Fallback>
                    <wp:positionH relativeFrom="page">
                      <wp:posOffset>5334635</wp:posOffset>
                    </wp:positionH>
                  </mc:Fallback>
                </mc:AlternateContent>
                <wp:positionV relativeFrom="bottomMargin">
                  <wp:posOffset>9144000</wp:posOffset>
                </wp:positionV>
                <wp:extent cx="548640" cy="548640"/>
                <wp:effectExtent l="3810" t="1270" r="0" b="2540"/>
                <wp:wrapNone/>
                <wp:docPr id="6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5"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6"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53F732" id="Group 56" o:spid="_x0000_s1026" style="position:absolute;margin-left:0;margin-top:10in;width:43.2pt;height:43.2pt;z-index:2516725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w10:wrap anchorx="margin" anchory="margin"/>
              </v:group>
            </w:pict>
          </mc:Fallback>
        </mc:AlternateContent>
      </w:r>
      <w:r w:rsidRPr="0054603E">
        <w:rPr>
          <w:rFonts w:ascii="Calibri" w:hAnsi="Calibri" w:cs="Calibri"/>
          <w:noProof/>
          <w:sz w:val="24"/>
          <w:szCs w:val="24"/>
          <w:lang w:eastAsia="pt-BR"/>
        </w:rPr>
        <mc:AlternateContent>
          <mc:Choice Requires="wpg">
            <w:drawing>
              <wp:anchor distT="0" distB="0" distL="114300" distR="114300" simplePos="0" relativeHeight="251673600" behindDoc="0" locked="0" layoutInCell="1" allowOverlap="1" wp14:anchorId="0854FE57" wp14:editId="3FADF359">
                <wp:simplePos x="0" y="0"/>
                <mc:AlternateContent>
                  <mc:Choice Requires="wp14">
                    <wp:positionH relativeFrom="margin">
                      <wp14:pctPosHOffset>77000</wp14:pctPosHOffset>
                    </wp:positionH>
                  </mc:Choice>
                  <mc:Fallback>
                    <wp:positionH relativeFrom="page">
                      <wp:posOffset>5334635</wp:posOffset>
                    </wp:positionH>
                  </mc:Fallback>
                </mc:AlternateContent>
                <wp:positionV relativeFrom="bottomMargin">
                  <wp:posOffset>9144000</wp:posOffset>
                </wp:positionV>
                <wp:extent cx="548640" cy="548640"/>
                <wp:effectExtent l="3810" t="1270" r="0" b="2540"/>
                <wp:wrapNone/>
                <wp:docPr id="6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2"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3"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78CA58" id="Group 53" o:spid="_x0000_s1026" style="position:absolute;margin-left:0;margin-top:10in;width:43.2pt;height:43.2pt;z-index:2516736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w10:wrap anchorx="margin" anchory="margin"/>
              </v:group>
            </w:pict>
          </mc:Fallback>
        </mc:AlternateContent>
      </w:r>
      <w:r w:rsidRPr="0054603E">
        <w:rPr>
          <w:rFonts w:ascii="Calibri" w:hAnsi="Calibri" w:cs="Calibri"/>
          <w:noProof/>
          <w:sz w:val="24"/>
          <w:szCs w:val="24"/>
          <w:lang w:eastAsia="pt-BR"/>
        </w:rPr>
        <mc:AlternateContent>
          <mc:Choice Requires="wpg">
            <w:drawing>
              <wp:anchor distT="0" distB="0" distL="114300" distR="114300" simplePos="0" relativeHeight="251674624" behindDoc="0" locked="0" layoutInCell="1" allowOverlap="1" wp14:anchorId="0F5D6976" wp14:editId="0DA39C54">
                <wp:simplePos x="0" y="0"/>
                <mc:AlternateContent>
                  <mc:Choice Requires="wp14">
                    <wp:positionH relativeFrom="margin">
                      <wp14:pctPosHOffset>77000</wp14:pctPosHOffset>
                    </wp:positionH>
                  </mc:Choice>
                  <mc:Fallback>
                    <wp:positionH relativeFrom="page">
                      <wp:posOffset>5334635</wp:posOffset>
                    </wp:positionH>
                  </mc:Fallback>
                </mc:AlternateContent>
                <wp:positionV relativeFrom="bottomMargin">
                  <wp:posOffset>9144000</wp:posOffset>
                </wp:positionV>
                <wp:extent cx="548640" cy="548640"/>
                <wp:effectExtent l="3810" t="1270" r="0" b="2540"/>
                <wp:wrapNone/>
                <wp:docPr id="5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9"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0"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6C9924" id="Group 50" o:spid="_x0000_s1026" style="position:absolute;margin-left:0;margin-top:10in;width:43.2pt;height:43.2pt;z-index:2516746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w10:wrap anchorx="margin" anchory="margin"/>
              </v:group>
            </w:pict>
          </mc:Fallback>
        </mc:AlternateContent>
      </w:r>
      <w:r w:rsidRPr="0054603E">
        <w:rPr>
          <w:rFonts w:ascii="Calibri" w:hAnsi="Calibri" w:cs="Calibri"/>
          <w:noProof/>
          <w:sz w:val="24"/>
          <w:szCs w:val="24"/>
          <w:lang w:eastAsia="pt-BR"/>
        </w:rPr>
        <mc:AlternateContent>
          <mc:Choice Requires="wpg">
            <w:drawing>
              <wp:anchor distT="0" distB="0" distL="114300" distR="114300" simplePos="0" relativeHeight="251675648" behindDoc="0" locked="0" layoutInCell="1" allowOverlap="1" wp14:anchorId="58B0E86E" wp14:editId="15D19A5B">
                <wp:simplePos x="0" y="0"/>
                <mc:AlternateContent>
                  <mc:Choice Requires="wp14">
                    <wp:positionH relativeFrom="margin">
                      <wp14:pctPosHOffset>77000</wp14:pctPosHOffset>
                    </wp:positionH>
                  </mc:Choice>
                  <mc:Fallback>
                    <wp:positionH relativeFrom="page">
                      <wp:posOffset>5334635</wp:posOffset>
                    </wp:positionH>
                  </mc:Fallback>
                </mc:AlternateContent>
                <wp:positionV relativeFrom="bottomMargin">
                  <wp:posOffset>9144000</wp:posOffset>
                </wp:positionV>
                <wp:extent cx="548640" cy="548640"/>
                <wp:effectExtent l="3810" t="1270" r="0" b="2540"/>
                <wp:wrapNone/>
                <wp:docPr id="5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6"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7"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D8A93C" id="Group 47" o:spid="_x0000_s1026" style="position:absolute;margin-left:0;margin-top:10in;width:43.2pt;height:43.2pt;z-index:2516756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w10:wrap anchorx="margin" anchory="margin"/>
              </v:group>
            </w:pict>
          </mc:Fallback>
        </mc:AlternateContent>
      </w:r>
      <w:r w:rsidRPr="0054603E">
        <w:rPr>
          <w:rFonts w:ascii="Calibri" w:hAnsi="Calibri" w:cs="Calibri"/>
          <w:noProof/>
          <w:sz w:val="24"/>
          <w:szCs w:val="24"/>
          <w:lang w:eastAsia="pt-BR"/>
        </w:rPr>
        <mc:AlternateContent>
          <mc:Choice Requires="wpg">
            <w:drawing>
              <wp:anchor distT="0" distB="0" distL="114300" distR="114300" simplePos="0" relativeHeight="251676672" behindDoc="0" locked="0" layoutInCell="1" allowOverlap="1" wp14:anchorId="251B5918" wp14:editId="2535C4DD">
                <wp:simplePos x="0" y="0"/>
                <mc:AlternateContent>
                  <mc:Choice Requires="wp14">
                    <wp:positionH relativeFrom="margin">
                      <wp14:pctPosHOffset>77000</wp14:pctPosHOffset>
                    </wp:positionH>
                  </mc:Choice>
                  <mc:Fallback>
                    <wp:positionH relativeFrom="page">
                      <wp:posOffset>5334635</wp:posOffset>
                    </wp:positionH>
                  </mc:Fallback>
                </mc:AlternateContent>
                <wp:positionV relativeFrom="bottomMargin">
                  <wp:posOffset>9144000</wp:posOffset>
                </wp:positionV>
                <wp:extent cx="548640" cy="548640"/>
                <wp:effectExtent l="3810" t="1270" r="0" b="2540"/>
                <wp:wrapNone/>
                <wp:docPr id="5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3"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4"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2F9BBC" id="Group 44" o:spid="_x0000_s1026" style="position:absolute;margin-left:0;margin-top:10in;width:43.2pt;height:43.2pt;z-index:2516766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w10:wrap anchorx="margin" anchory="margin"/>
              </v:group>
            </w:pict>
          </mc:Fallback>
        </mc:AlternateContent>
      </w:r>
      <w:r w:rsidRPr="0054603E">
        <w:rPr>
          <w:rFonts w:ascii="Calibri" w:hAnsi="Calibri" w:cs="Calibri"/>
          <w:noProof/>
          <w:sz w:val="24"/>
          <w:szCs w:val="24"/>
          <w:lang w:eastAsia="pt-BR"/>
        </w:rPr>
        <mc:AlternateContent>
          <mc:Choice Requires="wpg">
            <w:drawing>
              <wp:anchor distT="0" distB="0" distL="114300" distR="114300" simplePos="0" relativeHeight="251677696" behindDoc="0" locked="0" layoutInCell="1" allowOverlap="1" wp14:anchorId="1ACE0F48" wp14:editId="6E2CEB16">
                <wp:simplePos x="0" y="0"/>
                <mc:AlternateContent>
                  <mc:Choice Requires="wp14">
                    <wp:positionH relativeFrom="margin">
                      <wp14:pctPosHOffset>77000</wp14:pctPosHOffset>
                    </wp:positionH>
                  </mc:Choice>
                  <mc:Fallback>
                    <wp:positionH relativeFrom="page">
                      <wp:posOffset>5334635</wp:posOffset>
                    </wp:positionH>
                  </mc:Fallback>
                </mc:AlternateContent>
                <wp:positionV relativeFrom="bottomMargin">
                  <wp:posOffset>9144000</wp:posOffset>
                </wp:positionV>
                <wp:extent cx="548640" cy="548640"/>
                <wp:effectExtent l="3810" t="1270" r="0" b="2540"/>
                <wp:wrapNone/>
                <wp:docPr id="4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0"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1"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0CE4E3" id="Group 41" o:spid="_x0000_s1026" style="position:absolute;margin-left:0;margin-top:10in;width:43.2pt;height:43.2pt;z-index:2516776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tExAAAANsAAAAPAAAAZHJzL2Rvd25yZXYueG1sRI9Ba8JA&#10;FITvhf6H5RV6KbpRU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PYq60TEAAAA2wAAAA8A&#10;AAAAAAAAAAAAAAAABwIAAGRycy9kb3ducmV2LnhtbFBLBQYAAAAAAwADALcAAAD4AgAAAAA=&#10;" filled="f" stroked="f"/>
                <w10:wrap anchorx="margin" anchory="margin"/>
              </v:group>
            </w:pict>
          </mc:Fallback>
        </mc:AlternateContent>
      </w:r>
      <w:r w:rsidRPr="0054603E">
        <w:rPr>
          <w:rFonts w:ascii="Calibri" w:hAnsi="Calibri" w:cs="Calibri"/>
          <w:noProof/>
          <w:sz w:val="24"/>
          <w:szCs w:val="24"/>
          <w:lang w:eastAsia="pt-BR"/>
        </w:rPr>
        <mc:AlternateContent>
          <mc:Choice Requires="wpg">
            <w:drawing>
              <wp:anchor distT="0" distB="0" distL="114300" distR="114300" simplePos="0" relativeHeight="251678720" behindDoc="0" locked="0" layoutInCell="1" allowOverlap="1" wp14:anchorId="4C439218" wp14:editId="57487A29">
                <wp:simplePos x="0" y="0"/>
                <mc:AlternateContent>
                  <mc:Choice Requires="wp14">
                    <wp:positionH relativeFrom="margin">
                      <wp14:pctPosHOffset>77000</wp14:pctPosHOffset>
                    </wp:positionH>
                  </mc:Choice>
                  <mc:Fallback>
                    <wp:positionH relativeFrom="page">
                      <wp:posOffset>5334635</wp:posOffset>
                    </wp:positionH>
                  </mc:Fallback>
                </mc:AlternateContent>
                <wp:positionV relativeFrom="bottomMargin">
                  <wp:posOffset>9144000</wp:posOffset>
                </wp:positionV>
                <wp:extent cx="548640" cy="548640"/>
                <wp:effectExtent l="3810" t="1270" r="0" b="2540"/>
                <wp:wrapNone/>
                <wp:docPr id="4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7"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8"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6129D6" id="Group 38" o:spid="_x0000_s1026" style="position:absolute;margin-left:0;margin-top:10in;width:43.2pt;height:43.2pt;z-index:2516787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QEwgAAANsAAAAPAAAAZHJzL2Rvd25yZXYueG1sRE9Na4NA&#10;EL0H+h+WKeQS4ppS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DiydQEwgAAANsAAAAPAAAA&#10;AAAAAAAAAAAAAAcCAABkcnMvZG93bnJldi54bWxQSwUGAAAAAAMAAwC3AAAA9gIAAAAA&#10;" filled="f" stroked="f"/>
                <w10:wrap anchorx="margin" anchory="margin"/>
              </v:group>
            </w:pict>
          </mc:Fallback>
        </mc:AlternateContent>
      </w:r>
      <w:r w:rsidRPr="0054603E">
        <w:rPr>
          <w:rFonts w:ascii="Calibri" w:hAnsi="Calibri" w:cs="Calibri"/>
          <w:noProof/>
          <w:sz w:val="24"/>
          <w:szCs w:val="24"/>
          <w:lang w:eastAsia="pt-BR"/>
        </w:rPr>
        <mc:AlternateContent>
          <mc:Choice Requires="wpg">
            <w:drawing>
              <wp:anchor distT="0" distB="0" distL="114300" distR="114300" simplePos="0" relativeHeight="251679744" behindDoc="0" locked="0" layoutInCell="1" allowOverlap="1" wp14:anchorId="12834FC3" wp14:editId="5297AFA6">
                <wp:simplePos x="0" y="0"/>
                <mc:AlternateContent>
                  <mc:Choice Requires="wp14">
                    <wp:positionH relativeFrom="margin">
                      <wp14:pctPosHOffset>77000</wp14:pctPosHOffset>
                    </wp:positionH>
                  </mc:Choice>
                  <mc:Fallback>
                    <wp:positionH relativeFrom="page">
                      <wp:posOffset>5334635</wp:posOffset>
                    </wp:positionH>
                  </mc:Fallback>
                </mc:AlternateContent>
                <wp:positionV relativeFrom="bottomMargin">
                  <wp:posOffset>9144000</wp:posOffset>
                </wp:positionV>
                <wp:extent cx="548640" cy="548640"/>
                <wp:effectExtent l="3810" t="1270" r="0" b="2540"/>
                <wp:wrapNone/>
                <wp:docPr id="4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4"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5"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75916A" id="Group 35" o:spid="_x0000_s1026" style="position:absolute;margin-left:0;margin-top:10in;width:43.2pt;height:43.2pt;z-index:2516797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uaxAAAANsAAAAPAAAAZHJzL2Rvd25yZXYueG1sRI9Ba8JA&#10;FITvBf/D8gQvohul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AzIe5rEAAAA2wAAAA8A&#10;AAAAAAAAAAAAAAAABwIAAGRycy9kb3ducmV2LnhtbFBLBQYAAAAAAwADALcAAAD4AgAAAAA=&#10;" filled="f" stroked="f"/>
                <w10:wrap anchorx="margin" anchory="margin"/>
              </v:group>
            </w:pict>
          </mc:Fallback>
        </mc:AlternateContent>
      </w:r>
      <w:r w:rsidRPr="0054603E">
        <w:rPr>
          <w:rFonts w:ascii="Calibri" w:hAnsi="Calibri" w:cs="Calibri"/>
          <w:noProof/>
          <w:sz w:val="24"/>
          <w:szCs w:val="24"/>
          <w:lang w:eastAsia="pt-BR"/>
        </w:rPr>
        <mc:AlternateContent>
          <mc:Choice Requires="wpg">
            <w:drawing>
              <wp:anchor distT="0" distB="0" distL="114300" distR="114300" simplePos="0" relativeHeight="251680768" behindDoc="0" locked="0" layoutInCell="1" allowOverlap="1" wp14:anchorId="203A5BE8" wp14:editId="79E49CA2">
                <wp:simplePos x="0" y="0"/>
                <mc:AlternateContent>
                  <mc:Choice Requires="wp14">
                    <wp:positionH relativeFrom="margin">
                      <wp14:pctPosHOffset>77000</wp14:pctPosHOffset>
                    </wp:positionH>
                  </mc:Choice>
                  <mc:Fallback>
                    <wp:positionH relativeFrom="page">
                      <wp:posOffset>5334635</wp:posOffset>
                    </wp:positionH>
                  </mc:Fallback>
                </mc:AlternateContent>
                <wp:positionV relativeFrom="bottomMargin">
                  <wp:posOffset>9144000</wp:posOffset>
                </wp:positionV>
                <wp:extent cx="548640" cy="548640"/>
                <wp:effectExtent l="3810" t="1270" r="0" b="2540"/>
                <wp:wrapNone/>
                <wp:docPr id="4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1"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2"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FED8BD" id="Group 32" o:spid="_x0000_s1026" style="position:absolute;margin-left:0;margin-top:10in;width:43.2pt;height:43.2pt;z-index:2516807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PuxAAAANsAAAAPAAAAZHJzL2Rvd25yZXYueG1sRI9Ba8JA&#10;FITvhf6H5RW8FN1US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IMh4+7EAAAA2wAAAA8A&#10;AAAAAAAAAAAAAAAABwIAAGRycy9kb3ducmV2LnhtbFBLBQYAAAAAAwADALcAAAD4AgAAAAA=&#10;" filled="f" stroked="f"/>
                <w10:wrap anchorx="margin" anchory="margin"/>
              </v:group>
            </w:pict>
          </mc:Fallback>
        </mc:AlternateContent>
      </w:r>
      <w:r w:rsidRPr="0054603E">
        <w:rPr>
          <w:rFonts w:ascii="Calibri" w:hAnsi="Calibri" w:cs="Calibri"/>
          <w:noProof/>
          <w:sz w:val="24"/>
          <w:szCs w:val="24"/>
          <w:lang w:eastAsia="pt-BR"/>
        </w:rPr>
        <mc:AlternateContent>
          <mc:Choice Requires="wpg">
            <w:drawing>
              <wp:anchor distT="0" distB="0" distL="114300" distR="114300" simplePos="0" relativeHeight="251681792" behindDoc="0" locked="0" layoutInCell="1" allowOverlap="1" wp14:anchorId="5259EC62" wp14:editId="5ECE5D6B">
                <wp:simplePos x="0" y="0"/>
                <mc:AlternateContent>
                  <mc:Choice Requires="wp14">
                    <wp:positionH relativeFrom="margin">
                      <wp14:pctPosHOffset>77000</wp14:pctPosHOffset>
                    </wp:positionH>
                  </mc:Choice>
                  <mc:Fallback>
                    <wp:positionH relativeFrom="page">
                      <wp:posOffset>5334635</wp:posOffset>
                    </wp:positionH>
                  </mc:Fallback>
                </mc:AlternateContent>
                <wp:positionV relativeFrom="bottomMargin">
                  <wp:posOffset>9144000</wp:posOffset>
                </wp:positionV>
                <wp:extent cx="548640" cy="548640"/>
                <wp:effectExtent l="3810" t="1270" r="0" b="2540"/>
                <wp:wrapNone/>
                <wp:docPr id="3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8"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9"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E55920" id="Group 29" o:spid="_x0000_s1026" style="position:absolute;margin-left:0;margin-top:10in;width:43.2pt;height:43.2pt;z-index:2516817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w10:wrap anchorx="margin" anchory="margin"/>
              </v:group>
            </w:pict>
          </mc:Fallback>
        </mc:AlternateContent>
      </w:r>
      <w:r w:rsidRPr="0054603E">
        <w:rPr>
          <w:rFonts w:ascii="Calibri" w:hAnsi="Calibri" w:cs="Calibri"/>
          <w:noProof/>
          <w:sz w:val="24"/>
          <w:szCs w:val="24"/>
          <w:lang w:eastAsia="pt-BR"/>
        </w:rPr>
        <mc:AlternateContent>
          <mc:Choice Requires="wpg">
            <w:drawing>
              <wp:anchor distT="0" distB="0" distL="114300" distR="114300" simplePos="0" relativeHeight="251682816" behindDoc="0" locked="0" layoutInCell="1" allowOverlap="1" wp14:anchorId="2DE2A857" wp14:editId="6B60DC9B">
                <wp:simplePos x="0" y="0"/>
                <mc:AlternateContent>
                  <mc:Choice Requires="wp14">
                    <wp:positionH relativeFrom="margin">
                      <wp14:pctPosHOffset>77000</wp14:pctPosHOffset>
                    </wp:positionH>
                  </mc:Choice>
                  <mc:Fallback>
                    <wp:positionH relativeFrom="page">
                      <wp:posOffset>5334635</wp:posOffset>
                    </wp:positionH>
                  </mc:Fallback>
                </mc:AlternateContent>
                <wp:positionV relativeFrom="bottomMargin">
                  <wp:posOffset>9144000</wp:posOffset>
                </wp:positionV>
                <wp:extent cx="548640" cy="548640"/>
                <wp:effectExtent l="3810" t="1270" r="0" b="2540"/>
                <wp:wrapNone/>
                <wp:docPr id="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19C4DD" id="Group 26" o:spid="_x0000_s1026" style="position:absolute;margin-left:0;margin-top:10in;width:43.2pt;height:43.2pt;z-index:2516828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">
                <v:oval id="Oval 2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w10:wrap anchorx="margin" anchory="margin"/>
              </v:group>
            </w:pict>
          </mc:Fallback>
        </mc:AlternateContent>
      </w:r>
      <w:r w:rsidRPr="0054603E">
        <w:rPr>
          <w:rFonts w:ascii="Calibri" w:hAnsi="Calibri" w:cs="Calibri"/>
          <w:noProof/>
          <w:sz w:val="24"/>
          <w:szCs w:val="24"/>
          <w:lang w:eastAsia="pt-BR"/>
        </w:rPr>
        <mc:AlternateContent>
          <mc:Choice Requires="wpg">
            <w:drawing>
              <wp:anchor distT="0" distB="0" distL="114300" distR="114300" simplePos="0" relativeHeight="251683840" behindDoc="0" locked="0" layoutInCell="1" allowOverlap="1" wp14:anchorId="7DFC1FB0" wp14:editId="4C58AD08">
                <wp:simplePos x="0" y="0"/>
                <mc:AlternateContent>
                  <mc:Choice Requires="wp14">
                    <wp:positionH relativeFrom="margin">
                      <wp14:pctPosHOffset>77000</wp14:pctPosHOffset>
                    </wp:positionH>
                  </mc:Choice>
                  <mc:Fallback>
                    <wp:positionH relativeFrom="page">
                      <wp:posOffset>5334635</wp:posOffset>
                    </wp:positionH>
                  </mc:Fallback>
                </mc:AlternateContent>
                <wp:positionV relativeFrom="bottomMargin">
                  <wp:posOffset>9144000</wp:posOffset>
                </wp:positionV>
                <wp:extent cx="548640" cy="548640"/>
                <wp:effectExtent l="3810" t="1270" r="0" b="2540"/>
                <wp:wrapNone/>
                <wp:docPr id="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0"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1"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945A58" id="Group 23" o:spid="_x0000_s1026" style="position:absolute;margin-left:0;margin-top:10in;width:43.2pt;height:43.2pt;z-index:2516838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">
                <v:oval id="Oval 2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w10:wrap anchorx="margin" anchory="margin"/>
              </v:group>
            </w:pict>
          </mc:Fallback>
        </mc:AlternateContent>
      </w:r>
      <w:r w:rsidRPr="0054603E">
        <w:rPr>
          <w:rFonts w:ascii="Calibri" w:hAnsi="Calibri" w:cs="Calibri"/>
          <w:noProof/>
          <w:sz w:val="24"/>
          <w:szCs w:val="24"/>
          <w:lang w:eastAsia="pt-BR"/>
        </w:rPr>
        <mc:AlternateContent>
          <mc:Choice Requires="wpg">
            <w:drawing>
              <wp:anchor distT="0" distB="0" distL="114300" distR="114300" simplePos="0" relativeHeight="251684864" behindDoc="0" locked="0" layoutInCell="1" allowOverlap="1" wp14:anchorId="00F2DCC2" wp14:editId="000BB195">
                <wp:simplePos x="0" y="0"/>
                <mc:AlternateContent>
                  <mc:Choice Requires="wp14">
                    <wp:positionH relativeFrom="margin">
                      <wp14:pctPosHOffset>77000</wp14:pctPosHOffset>
                    </wp:positionH>
                  </mc:Choice>
                  <mc:Fallback>
                    <wp:positionH relativeFrom="page">
                      <wp:posOffset>5334635</wp:posOffset>
                    </wp:positionH>
                  </mc:Fallback>
                </mc:AlternateContent>
                <wp:positionV relativeFrom="bottomMargin">
                  <wp:posOffset>9144000</wp:posOffset>
                </wp:positionV>
                <wp:extent cx="548640" cy="548640"/>
                <wp:effectExtent l="3810" t="1270" r="0" b="2540"/>
                <wp:wrapNone/>
                <wp:docPr id="9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8"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1"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BE1736" id="Group 20" o:spid="_x0000_s1026" style="position:absolute;margin-left:0;margin-top:10in;width:43.2pt;height:43.2pt;z-index:2516848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">
                <v:oval id="Oval 2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" filled="f" stroked="f"/>
                <w10:wrap anchorx="margin" anchory="margin"/>
              </v:group>
            </w:pict>
          </mc:Fallback>
        </mc:AlternateContent>
      </w:r>
      <w:r w:rsidRPr="0054603E">
        <w:rPr>
          <w:rFonts w:ascii="Calibri" w:hAnsi="Calibri" w:cs="Calibri"/>
          <w:noProof/>
          <w:sz w:val="24"/>
          <w:szCs w:val="24"/>
          <w:lang w:eastAsia="pt-BR"/>
        </w:rPr>
        <mc:AlternateContent>
          <mc:Choice Requires="wpg">
            <w:drawing>
              <wp:anchor distT="0" distB="0" distL="114300" distR="114300" simplePos="0" relativeHeight="251685888" behindDoc="0" locked="0" layoutInCell="1" allowOverlap="1" wp14:anchorId="5BA84FF5" wp14:editId="6310637F">
                <wp:simplePos x="0" y="0"/>
                <mc:AlternateContent>
                  <mc:Choice Requires="wp14">
                    <wp:positionH relativeFrom="margin">
                      <wp14:pctPosHOffset>77000</wp14:pctPosHOffset>
                    </wp:positionH>
                  </mc:Choice>
                  <mc:Fallback>
                    <wp:positionH relativeFrom="page">
                      <wp:posOffset>5334635</wp:posOffset>
                    </wp:positionH>
                  </mc:Fallback>
                </mc:AlternateContent>
                <wp:positionV relativeFrom="bottomMargin">
                  <wp:posOffset>9144000</wp:posOffset>
                </wp:positionV>
                <wp:extent cx="548640" cy="548640"/>
                <wp:effectExtent l="3810" t="1270" r="0" b="2540"/>
                <wp:wrapNone/>
                <wp:docPr id="10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05"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6"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0BC0B9" id="Group 17" o:spid="_x0000_s1026" style="position:absolute;margin-left:0;margin-top:10in;width:43.2pt;height:43.2pt;z-index:2516858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">
                <v:oval id="Oval 1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" filled="f" stroked="f"/>
                <w10:wrap anchorx="margin" anchory="margin"/>
              </v:group>
            </w:pict>
          </mc:Fallback>
        </mc:AlternateContent>
      </w:r>
      <w:r w:rsidRPr="0054603E">
        <w:rPr>
          <w:rFonts w:ascii="Calibri" w:hAnsi="Calibri" w:cs="Calibri"/>
          <w:noProof/>
          <w:sz w:val="24"/>
          <w:szCs w:val="24"/>
          <w:lang w:eastAsia="pt-BR"/>
        </w:rPr>
        <mc:AlternateContent>
          <mc:Choice Requires="wpg">
            <w:drawing>
              <wp:anchor distT="0" distB="0" distL="114300" distR="114300" simplePos="0" relativeHeight="251686912" behindDoc="0" locked="0" layoutInCell="1" allowOverlap="1" wp14:anchorId="06C5EBA3" wp14:editId="71ED804A">
                <wp:simplePos x="0" y="0"/>
                <mc:AlternateContent>
                  <mc:Choice Requires="wp14">
                    <wp:positionH relativeFrom="margin">
                      <wp14:pctPosHOffset>77000</wp14:pctPosHOffset>
                    </wp:positionH>
                  </mc:Choice>
                  <mc:Fallback>
                    <wp:positionH relativeFrom="page">
                      <wp:posOffset>5334635</wp:posOffset>
                    </wp:positionH>
                  </mc:Fallback>
                </mc:AlternateContent>
                <wp:positionV relativeFrom="bottomMargin">
                  <wp:posOffset>9144000</wp:posOffset>
                </wp:positionV>
                <wp:extent cx="548640" cy="548640"/>
                <wp:effectExtent l="3810" t="1270" r="0" b="2540"/>
                <wp:wrapNone/>
                <wp:docPr id="1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0"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1"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C5E599" id="Group 14" o:spid="_x0000_s1026" style="position:absolute;margin-left:0;margin-top:10in;width:43.2pt;height:43.2pt;z-index:2516869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">
                <v:oval id="Oval 1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w10:wrap anchorx="margin" anchory="margin"/>
              </v:group>
            </w:pict>
          </mc:Fallback>
        </mc:AlternateContent>
      </w:r>
      <w:r w:rsidRPr="0054603E">
        <w:rPr>
          <w:rFonts w:ascii="Calibri" w:hAnsi="Calibri" w:cs="Calibri"/>
          <w:noProof/>
          <w:sz w:val="24"/>
          <w:szCs w:val="24"/>
          <w:lang w:eastAsia="pt-BR"/>
        </w:rPr>
        <mc:AlternateContent>
          <mc:Choice Requires="wpg">
            <w:drawing>
              <wp:anchor distT="0" distB="0" distL="114300" distR="114300" simplePos="0" relativeHeight="251687936" behindDoc="0" locked="0" layoutInCell="1" allowOverlap="1" wp14:anchorId="3F5F79F0" wp14:editId="4CD5CB1F">
                <wp:simplePos x="0" y="0"/>
                <mc:AlternateContent>
                  <mc:Choice Requires="wp14">
                    <wp:positionH relativeFrom="margin">
                      <wp14:pctPosHOffset>77000</wp14:pctPosHOffset>
                    </wp:positionH>
                  </mc:Choice>
                  <mc:Fallback>
                    <wp:positionH relativeFrom="page">
                      <wp:posOffset>5334635</wp:posOffset>
                    </wp:positionH>
                  </mc:Fallback>
                </mc:AlternateContent>
                <wp:positionV relativeFrom="bottomMargin">
                  <wp:posOffset>9144000</wp:posOffset>
                </wp:positionV>
                <wp:extent cx="548640" cy="548640"/>
                <wp:effectExtent l="3810" t="1270" r="0" b="2540"/>
                <wp:wrapNone/>
                <wp:docPr id="2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3"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3"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FB67FD" id="Group 11" o:spid="_x0000_s1026" style="position:absolute;margin-left:0;margin-top:10in;width:43.2pt;height:43.2pt;z-index:2516879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w10:wrap anchorx="margin" anchory="margin"/>
              </v:group>
            </w:pict>
          </mc:Fallback>
        </mc:AlternateContent>
      </w:r>
      <w:r w:rsidRPr="0054603E">
        <w:rPr>
          <w:rFonts w:ascii="Calibri" w:hAnsi="Calibri" w:cs="Calibri"/>
          <w:noProof/>
          <w:sz w:val="24"/>
          <w:szCs w:val="24"/>
          <w:lang w:eastAsia="pt-BR"/>
        </w:rPr>
        <mc:AlternateContent>
          <mc:Choice Requires="wpg">
            <w:drawing>
              <wp:anchor distT="0" distB="0" distL="114300" distR="114300" simplePos="0" relativeHeight="251688960" behindDoc="0" locked="0" layoutInCell="1" allowOverlap="1" wp14:anchorId="40DE436C" wp14:editId="29CD53F0">
                <wp:simplePos x="0" y="0"/>
                <mc:AlternateContent>
                  <mc:Choice Requires="wp14">
                    <wp:positionH relativeFrom="margin">
                      <wp14:pctPosHOffset>77000</wp14:pctPosHOffset>
                    </wp:positionH>
                  </mc:Choice>
                  <mc:Fallback>
                    <wp:positionH relativeFrom="page">
                      <wp:posOffset>5334635</wp:posOffset>
                    </wp:positionH>
                  </mc:Fallback>
                </mc:AlternateContent>
                <wp:positionV relativeFrom="bottomMargin">
                  <wp:posOffset>9144000</wp:posOffset>
                </wp:positionV>
                <wp:extent cx="548640" cy="548640"/>
                <wp:effectExtent l="3810" t="1270" r="0" b="2540"/>
                <wp:wrapNone/>
                <wp:docPr id="7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5"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6"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3CA5E5" id="Group 8" o:spid="_x0000_s1026" style="position:absolute;margin-left:0;margin-top:10in;width:43.2pt;height:43.2pt;z-index:2516889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">
                <v:oval id="Oval 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w10:wrap anchorx="margin" anchory="margin"/>
              </v:group>
            </w:pict>
          </mc:Fallback>
        </mc:AlternateContent>
      </w:r>
      <w:r w:rsidRPr="0054603E">
        <w:rPr>
          <w:rFonts w:ascii="Calibri" w:hAnsi="Calibri" w:cs="Calibri"/>
          <w:noProof/>
          <w:sz w:val="24"/>
          <w:szCs w:val="24"/>
          <w:lang w:eastAsia="pt-BR"/>
        </w:rPr>
        <mc:AlternateContent>
          <mc:Choice Requires="wpg">
            <w:drawing>
              <wp:anchor distT="0" distB="0" distL="114300" distR="114300" simplePos="0" relativeHeight="251689984" behindDoc="0" locked="0" layoutInCell="1" allowOverlap="1" wp14:anchorId="4519DF86" wp14:editId="0CA10082">
                <wp:simplePos x="0" y="0"/>
                <mc:AlternateContent>
                  <mc:Choice Requires="wp14">
                    <wp:positionH relativeFrom="margin">
                      <wp14:pctPosHOffset>77000</wp14:pctPosHOffset>
                    </wp:positionH>
                  </mc:Choice>
                  <mc:Fallback>
                    <wp:positionH relativeFrom="page">
                      <wp:posOffset>5334635</wp:posOffset>
                    </wp:positionH>
                  </mc:Fallback>
                </mc:AlternateContent>
                <wp:positionV relativeFrom="bottomMargin">
                  <wp:posOffset>9144000</wp:posOffset>
                </wp:positionV>
                <wp:extent cx="548640" cy="548640"/>
                <wp:effectExtent l="3810" t="1270" r="0" b="2540"/>
                <wp:wrapNone/>
                <wp:docPr id="7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9"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0"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0E3AA5" id="Group 5" o:spid="_x0000_s1026" style="position:absolute;margin-left:0;margin-top:10in;width:43.2pt;height:43.2pt;z-index:2516899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">
                <v:oval id="Oval 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" filled="f" stroked="f"/>
                <w10:wrap anchorx="margin" anchory="margin"/>
              </v:group>
            </w:pict>
          </mc:Fallback>
        </mc:AlternateContent>
      </w:r>
      <w:r w:rsidRPr="0054603E">
        <w:rPr>
          <w:rFonts w:ascii="Calibri" w:hAnsi="Calibri" w:cs="Calibri"/>
          <w:noProof/>
          <w:sz w:val="24"/>
          <w:szCs w:val="24"/>
          <w:lang w:eastAsia="pt-BR"/>
        </w:rPr>
        <mc:AlternateContent>
          <mc:Choice Requires="wpg">
            <w:drawing>
              <wp:anchor distT="0" distB="0" distL="114300" distR="114300" simplePos="0" relativeHeight="251691008" behindDoc="0" locked="0" layoutInCell="1" allowOverlap="1" wp14:anchorId="179D3320" wp14:editId="04BF1970">
                <wp:simplePos x="0" y="0"/>
                <mc:AlternateContent>
                  <mc:Choice Requires="wp14">
                    <wp:positionH relativeFrom="margin">
                      <wp14:pctPosHOffset>77000</wp14:pctPosHOffset>
                    </wp:positionH>
                  </mc:Choice>
                  <mc:Fallback>
                    <wp:positionH relativeFrom="page">
                      <wp:posOffset>5334635</wp:posOffset>
                    </wp:positionH>
                  </mc:Fallback>
                </mc:AlternateContent>
                <wp:positionV relativeFrom="bottomMargin">
                  <wp:posOffset>9144000</wp:posOffset>
                </wp:positionV>
                <wp:extent cx="548640" cy="548640"/>
                <wp:effectExtent l="3810" t="1270" r="0" b="2540"/>
                <wp:wrapNone/>
                <wp:docPr id="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2"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3"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FDD1BF" id="Group 2" o:spid="_x0000_s1026" style="position:absolute;margin-left:0;margin-top:10in;width:43.2pt;height:43.2pt;z-index:2516910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">
                <v:oval id="Oval 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zvxAAAANsAAAAPAAAAZHJzL2Rvd25yZXYueG1sRI/dasJA&#10;FITvBd9hOUJvpG60IC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BfU/O/EAAAA2wAAAA8A&#10;AAAAAAAAAAAAAAAABwIAAGRycy9kb3ducmV2LnhtbFBLBQYAAAAAAwADALcAAAD4AgAAAAA=&#10;" filled="f" stroked="f"/>
                <w10:wrap anchorx="margin" anchory="margin"/>
              </v:group>
            </w:pict>
          </mc:Fallback>
        </mc:AlternateContent>
      </w:r>
      <w:bookmarkEnd w:id="29"/>
      <w:r w:rsidRPr="0054603E">
        <w:rPr>
          <w:rFonts w:ascii="Calibri" w:hAnsi="Calibri" w:cs="Calibri"/>
          <w:sz w:val="24"/>
          <w:szCs w:val="24"/>
        </w:rPr>
        <w:t>Introdução</w:t>
      </w:r>
      <w:bookmarkEnd w:id="30"/>
      <w:bookmarkEnd w:id="31"/>
      <w:bookmarkEnd w:id="32"/>
      <w:bookmarkEnd w:id="33"/>
      <w:bookmarkEnd w:id="34"/>
      <w:bookmarkEnd w:id="35"/>
      <w:bookmarkEnd w:id="36"/>
    </w:p>
    <w:p w14:paraId="4A4DC905" w14:textId="77777777" w:rsidR="00FD7D45" w:rsidRPr="00E16328" w:rsidRDefault="00FD7D45" w:rsidP="00FD7D45">
      <w:pPr>
        <w:spacing w:before="60" w:after="120" w:line="360" w:lineRule="auto"/>
        <w:ind w:firstLine="720"/>
        <w:jc w:val="both"/>
        <w:rPr>
          <w:rFonts w:ascii="Calibri" w:hAnsi="Calibri" w:cs="Calibri"/>
          <w:sz w:val="24"/>
          <w:szCs w:val="24"/>
        </w:rPr>
      </w:pPr>
      <w:r w:rsidRPr="00E16328">
        <w:rPr>
          <w:rFonts w:ascii="Calibri" w:hAnsi="Calibri" w:cs="Calibri"/>
          <w:sz w:val="24"/>
          <w:szCs w:val="24"/>
        </w:rPr>
        <w:t xml:space="preserve">O Método de Priorização de Processos (MPP) tem a finalidade de contribuir com as Unidades do Ministério da Saúde na classificação de processos, com vistas a definir quais terão prioridade no mapeamento de processos e no gerenciamento de riscos, e os respectivos prazos para a execução dos trabalhos. No gerenciamento de riscos, os processos priorizados irão compor o Plano de Gestão de Riscos da Unidade e, após análise, consolidação e aprovação, irão compor o Plano de Gestão de Riscos do Ministério da Saúde. </w:t>
      </w:r>
    </w:p>
    <w:p w14:paraId="2525978A" w14:textId="5D57D019" w:rsidR="00FD7D45" w:rsidRPr="00E16328" w:rsidRDefault="00FD7D45" w:rsidP="00FD7D45">
      <w:pPr>
        <w:spacing w:before="60" w:after="120" w:line="360" w:lineRule="auto"/>
        <w:ind w:firstLine="720"/>
        <w:jc w:val="both"/>
        <w:rPr>
          <w:rFonts w:ascii="Calibri" w:hAnsi="Calibri" w:cs="Calibri"/>
          <w:color w:val="FF0000"/>
          <w:sz w:val="24"/>
          <w:szCs w:val="24"/>
        </w:rPr>
      </w:pPr>
      <w:r w:rsidRPr="00E16328">
        <w:rPr>
          <w:rFonts w:ascii="Calibri" w:hAnsi="Calibri" w:cs="Calibri"/>
          <w:sz w:val="24"/>
          <w:szCs w:val="24"/>
        </w:rPr>
        <w:t xml:space="preserve">Base para aplicação: processos da Cadeia de Valor e os Objetivos do Mapa Estratégico, registrados no Plano Nacional de Saúde (PNS) / Plano Plurianual (PPA). </w:t>
      </w:r>
    </w:p>
    <w:p w14:paraId="2E3350FE" w14:textId="77777777" w:rsidR="00FD7D45" w:rsidRPr="00E16328" w:rsidRDefault="00FD7D45" w:rsidP="00FD7D45">
      <w:pPr>
        <w:spacing w:before="60" w:after="120" w:line="360" w:lineRule="auto"/>
        <w:ind w:firstLine="720"/>
        <w:jc w:val="both"/>
        <w:rPr>
          <w:rFonts w:ascii="Calibri" w:hAnsi="Calibri" w:cs="Calibri"/>
          <w:sz w:val="24"/>
          <w:szCs w:val="24"/>
        </w:rPr>
      </w:pPr>
      <w:r w:rsidRPr="00E16328">
        <w:rPr>
          <w:rFonts w:ascii="Calibri" w:hAnsi="Calibri" w:cs="Calibri"/>
          <w:sz w:val="24"/>
          <w:szCs w:val="24"/>
        </w:rPr>
        <w:t xml:space="preserve">Inicialmente, até que seja desenvolvida uma ferramenta automatizada para o gerenciamento de riscos, que inclua este MPP, a sua aplicação será realizada por meio de planilha Excel. </w:t>
      </w:r>
    </w:p>
    <w:p w14:paraId="01B6DB2C" w14:textId="77777777" w:rsidR="00FD7D45" w:rsidRPr="00E16328" w:rsidRDefault="00FD7D45" w:rsidP="00FD7D45">
      <w:pPr>
        <w:spacing w:before="60" w:after="120" w:line="360" w:lineRule="auto"/>
        <w:ind w:firstLine="720"/>
        <w:jc w:val="both"/>
        <w:rPr>
          <w:rFonts w:ascii="Calibri" w:hAnsi="Calibri" w:cs="Calibri"/>
          <w:sz w:val="24"/>
          <w:szCs w:val="24"/>
        </w:rPr>
      </w:pPr>
      <w:r w:rsidRPr="00E16328">
        <w:rPr>
          <w:rFonts w:ascii="Calibri" w:hAnsi="Calibri" w:cs="Calibri"/>
          <w:sz w:val="24"/>
          <w:szCs w:val="24"/>
        </w:rPr>
        <w:t>Este Método é parte integrante da Metodologia de Gestão de Riscos do Ministério da Saúde. É uma ferramenta que auxilia as Unidades estabelecer quais processos terão prioridades para o mapeamento de processos e gerenciamento dos riscos, em um determinado período, uma vez que é possível classificar os processos em função do seu grau de exposição, complexidade e relevância. Com a aplicação do MPP os processos serão classificados em:</w:t>
      </w:r>
    </w:p>
    <w:p w14:paraId="5F02D19E" w14:textId="77777777" w:rsidR="00FD7D45" w:rsidRPr="00E16328" w:rsidRDefault="00FD7D45" w:rsidP="00FD7D45">
      <w:pPr>
        <w:spacing w:before="60" w:after="120" w:line="360" w:lineRule="auto"/>
        <w:jc w:val="both"/>
        <w:rPr>
          <w:rFonts w:ascii="Calibri" w:hAnsi="Calibri" w:cs="Calibri"/>
          <w:sz w:val="24"/>
          <w:szCs w:val="24"/>
        </w:rPr>
      </w:pPr>
      <w:r w:rsidRPr="00E16328">
        <w:rPr>
          <w:rFonts w:ascii="Calibri" w:hAnsi="Calibri" w:cs="Calibri"/>
          <w:b/>
          <w:bCs/>
          <w:sz w:val="24"/>
          <w:szCs w:val="24"/>
        </w:rPr>
        <w:t>PA – Prioridade Alta</w:t>
      </w:r>
      <w:r w:rsidRPr="00E16328">
        <w:rPr>
          <w:rFonts w:ascii="Calibri" w:hAnsi="Calibri" w:cs="Calibri"/>
          <w:sz w:val="24"/>
          <w:szCs w:val="24"/>
        </w:rPr>
        <w:t>: expressa os processos mais significativos, que deverão ter prioridade sobre os demais no mapeamento de processos e no gerenciamento de riscos;</w:t>
      </w:r>
    </w:p>
    <w:p w14:paraId="0A3081CE" w14:textId="77777777" w:rsidR="00FD7D45" w:rsidRPr="00E16328" w:rsidRDefault="00FD7D45" w:rsidP="00FD7D45">
      <w:pPr>
        <w:spacing w:before="60" w:after="120" w:line="360" w:lineRule="auto"/>
        <w:jc w:val="both"/>
        <w:rPr>
          <w:rFonts w:ascii="Calibri" w:hAnsi="Calibri" w:cs="Calibri"/>
          <w:sz w:val="24"/>
          <w:szCs w:val="24"/>
        </w:rPr>
      </w:pPr>
      <w:r w:rsidRPr="00E16328">
        <w:rPr>
          <w:rFonts w:ascii="Calibri" w:hAnsi="Calibri" w:cs="Calibri"/>
          <w:b/>
          <w:bCs/>
          <w:sz w:val="24"/>
          <w:szCs w:val="24"/>
        </w:rPr>
        <w:t>PM – Prioridade Média</w:t>
      </w:r>
      <w:r w:rsidRPr="00E16328">
        <w:rPr>
          <w:rFonts w:ascii="Calibri" w:hAnsi="Calibri" w:cs="Calibri"/>
          <w:sz w:val="24"/>
          <w:szCs w:val="24"/>
        </w:rPr>
        <w:t>: expressa os processos de grande importância ou que merecem destaque, e que deverão ter uma prioridade média sobre os demais no mapeamento de processos e no gerenciamento de riscos;</w:t>
      </w:r>
    </w:p>
    <w:p w14:paraId="01F0796E" w14:textId="77777777" w:rsidR="00FD7D45" w:rsidRPr="00E16328" w:rsidRDefault="00FD7D45" w:rsidP="00FD7D45">
      <w:pPr>
        <w:spacing w:before="60" w:after="120" w:line="360" w:lineRule="auto"/>
        <w:jc w:val="both"/>
        <w:rPr>
          <w:rFonts w:ascii="Calibri" w:hAnsi="Calibri" w:cs="Calibri"/>
          <w:sz w:val="24"/>
          <w:szCs w:val="24"/>
        </w:rPr>
      </w:pPr>
      <w:r w:rsidRPr="00E16328">
        <w:rPr>
          <w:rFonts w:ascii="Calibri" w:hAnsi="Calibri" w:cs="Calibri"/>
          <w:b/>
          <w:bCs/>
          <w:sz w:val="24"/>
          <w:szCs w:val="24"/>
        </w:rPr>
        <w:t>PB – Prioridade Baixa</w:t>
      </w:r>
      <w:r w:rsidRPr="00E16328">
        <w:rPr>
          <w:rFonts w:ascii="Calibri" w:hAnsi="Calibri" w:cs="Calibri"/>
          <w:sz w:val="24"/>
          <w:szCs w:val="24"/>
        </w:rPr>
        <w:t>: expressa os processos de menor importância, que deverão ter prioridade baixa sobre os demais no mapeamento de processo e no gerenciamento de riscos.</w:t>
      </w:r>
    </w:p>
    <w:p w14:paraId="016F3048" w14:textId="77777777" w:rsidR="00FD7D45" w:rsidRPr="00E16328" w:rsidRDefault="00FD7D45" w:rsidP="00FD7D45">
      <w:pPr>
        <w:spacing w:before="60" w:after="120" w:line="360" w:lineRule="auto"/>
        <w:ind w:firstLine="709"/>
        <w:jc w:val="both"/>
        <w:rPr>
          <w:rFonts w:ascii="Calibri" w:hAnsi="Calibri" w:cs="Calibri"/>
          <w:sz w:val="24"/>
          <w:szCs w:val="24"/>
        </w:rPr>
      </w:pPr>
      <w:r w:rsidRPr="00E16328">
        <w:rPr>
          <w:rFonts w:ascii="Calibri" w:hAnsi="Calibri" w:cs="Calibri"/>
          <w:sz w:val="24"/>
          <w:szCs w:val="24"/>
        </w:rPr>
        <w:t xml:space="preserve">O MPP permitirá que o gestor conheça o grau de exposição a que cada processo estaria sujeito, levando em consideração critério </w:t>
      </w:r>
      <w:r w:rsidRPr="00E16328">
        <w:rPr>
          <w:rFonts w:ascii="Calibri" w:hAnsi="Calibri" w:cs="Calibri"/>
          <w:b/>
          <w:bCs/>
          <w:sz w:val="24"/>
          <w:szCs w:val="24"/>
        </w:rPr>
        <w:t xml:space="preserve">quantitativo </w:t>
      </w:r>
      <w:r w:rsidRPr="00E16328">
        <w:rPr>
          <w:rFonts w:ascii="Calibri" w:hAnsi="Calibri" w:cs="Calibri"/>
          <w:sz w:val="24"/>
          <w:szCs w:val="24"/>
        </w:rPr>
        <w:t xml:space="preserve">(orçamento) e critério </w:t>
      </w:r>
      <w:r w:rsidRPr="00E16328">
        <w:rPr>
          <w:rFonts w:ascii="Calibri" w:hAnsi="Calibri" w:cs="Calibri"/>
          <w:b/>
          <w:bCs/>
          <w:sz w:val="24"/>
          <w:szCs w:val="24"/>
        </w:rPr>
        <w:t>qualitativo</w:t>
      </w:r>
      <w:r w:rsidRPr="00E16328">
        <w:rPr>
          <w:rFonts w:ascii="Calibri" w:hAnsi="Calibri" w:cs="Calibri"/>
          <w:sz w:val="24"/>
          <w:szCs w:val="24"/>
        </w:rPr>
        <w:t xml:space="preserve"> (fatores que permitem a avaliação qualitativa de cada processo).</w:t>
      </w:r>
    </w:p>
    <w:p w14:paraId="219BD9EE" w14:textId="77777777" w:rsidR="00FD7D45" w:rsidRPr="00E16328" w:rsidRDefault="00FD7D45" w:rsidP="00FD7D45">
      <w:pPr>
        <w:spacing w:before="60" w:after="120" w:line="360" w:lineRule="auto"/>
        <w:ind w:firstLine="720"/>
        <w:jc w:val="both"/>
        <w:rPr>
          <w:rFonts w:ascii="Calibri" w:hAnsi="Calibri" w:cs="Calibri"/>
          <w:color w:val="FF0000"/>
          <w:sz w:val="24"/>
          <w:szCs w:val="24"/>
        </w:rPr>
      </w:pPr>
      <w:r w:rsidRPr="00E16328">
        <w:rPr>
          <w:rFonts w:ascii="Calibri" w:hAnsi="Calibri" w:cs="Calibri"/>
          <w:sz w:val="24"/>
          <w:szCs w:val="24"/>
        </w:rPr>
        <w:t>Na avaliação quantitativa será verificada a existência ou não de orçamento claramente alocado ao processo sob análise.</w:t>
      </w:r>
    </w:p>
    <w:p w14:paraId="73044A88" w14:textId="77777777" w:rsidR="00FD7D45" w:rsidRPr="00E16328" w:rsidRDefault="00FD7D45" w:rsidP="00FD7D45">
      <w:pPr>
        <w:spacing w:before="60" w:after="120" w:line="360" w:lineRule="auto"/>
        <w:ind w:firstLine="720"/>
        <w:jc w:val="both"/>
        <w:rPr>
          <w:rFonts w:ascii="Calibri" w:hAnsi="Calibri" w:cs="Calibri"/>
          <w:sz w:val="24"/>
          <w:szCs w:val="24"/>
        </w:rPr>
      </w:pPr>
      <w:r w:rsidRPr="00E16328">
        <w:rPr>
          <w:rFonts w:ascii="Calibri" w:hAnsi="Calibri" w:cs="Calibri"/>
          <w:sz w:val="24"/>
          <w:szCs w:val="24"/>
        </w:rPr>
        <w:t>No entanto, na avaliação qualitativa serão analisados os seguintes fatores, que qualificam os processos: Relevância Estratégica do Processo, Demandas do TCU/CGU/MP, Demanda Judicial em Saúde, Recursos Humanos, Recursos Tecnológicos, e Estrutura Organizacional.</w:t>
      </w:r>
    </w:p>
    <w:p w14:paraId="06AC309E" w14:textId="77777777" w:rsidR="00FD7D45" w:rsidRPr="007E78BA" w:rsidRDefault="00FD7D45" w:rsidP="007E78BA">
      <w:pPr>
        <w:pStyle w:val="Ttulo1"/>
        <w:widowControl/>
        <w:numPr>
          <w:ilvl w:val="0"/>
          <w:numId w:val="2"/>
        </w:numPr>
        <w:autoSpaceDE/>
        <w:autoSpaceDN/>
        <w:spacing w:before="60" w:after="120" w:line="360" w:lineRule="auto"/>
        <w:rPr>
          <w:rFonts w:ascii="Calibri" w:hAnsi="Calibri" w:cs="Calibri"/>
          <w:sz w:val="24"/>
          <w:szCs w:val="24"/>
        </w:rPr>
      </w:pPr>
      <w:bookmarkStart w:id="37" w:name="_Toc470192393"/>
      <w:bookmarkStart w:id="38" w:name="_Toc471466680"/>
      <w:bookmarkStart w:id="39" w:name="_Toc68090950"/>
      <w:bookmarkStart w:id="40" w:name="_Toc68936893"/>
      <w:bookmarkStart w:id="41" w:name="_Toc68937079"/>
      <w:bookmarkStart w:id="42" w:name="_Toc74391113"/>
      <w:bookmarkStart w:id="43" w:name="_Toc74468873"/>
      <w:r w:rsidRPr="007E78BA">
        <w:rPr>
          <w:rFonts w:ascii="Calibri" w:hAnsi="Calibri" w:cs="Calibri"/>
          <w:sz w:val="24"/>
          <w:szCs w:val="24"/>
        </w:rPr>
        <w:t>Avaliação Quantitativa</w:t>
      </w:r>
      <w:bookmarkEnd w:id="37"/>
      <w:bookmarkEnd w:id="38"/>
      <w:r w:rsidRPr="007E78BA">
        <w:rPr>
          <w:rFonts w:ascii="Calibri" w:hAnsi="Calibri" w:cs="Calibri"/>
          <w:sz w:val="24"/>
          <w:szCs w:val="24"/>
        </w:rPr>
        <w:t xml:space="preserve"> - Orçamento</w:t>
      </w:r>
      <w:bookmarkEnd w:id="39"/>
      <w:bookmarkEnd w:id="40"/>
      <w:bookmarkEnd w:id="41"/>
      <w:bookmarkEnd w:id="42"/>
      <w:bookmarkEnd w:id="43"/>
    </w:p>
    <w:p w14:paraId="16D1DA2B" w14:textId="77777777" w:rsidR="00FD7D45" w:rsidRPr="00FF3059" w:rsidRDefault="00FD7D45" w:rsidP="00FD7D45">
      <w:pPr>
        <w:spacing w:before="60" w:after="120" w:line="360" w:lineRule="auto"/>
        <w:ind w:firstLine="720"/>
        <w:jc w:val="both"/>
        <w:rPr>
          <w:sz w:val="24"/>
          <w:szCs w:val="24"/>
        </w:rPr>
      </w:pPr>
      <w:r w:rsidRPr="00FF3059">
        <w:rPr>
          <w:sz w:val="24"/>
          <w:szCs w:val="24"/>
        </w:rPr>
        <w:t>Para efeito da avaliação quantitativa será respondida pergunta sobre a existência de orçamento claramente alocado ao processo sob análise, cujas notas possíveis são</w:t>
      </w:r>
      <w:r>
        <w:rPr>
          <w:sz w:val="24"/>
          <w:szCs w:val="24"/>
        </w:rPr>
        <w:t>:</w:t>
      </w:r>
    </w:p>
    <w:p w14:paraId="0BAB6304" w14:textId="77777777" w:rsidR="00FD7D45" w:rsidRDefault="00FD7D45" w:rsidP="00FD7D45">
      <w:pPr>
        <w:spacing w:before="60" w:after="120" w:line="360" w:lineRule="auto"/>
        <w:ind w:firstLine="720"/>
        <w:jc w:val="both"/>
        <w:rPr>
          <w:color w:val="FF0000"/>
          <w:sz w:val="24"/>
          <w:szCs w:val="24"/>
        </w:rPr>
      </w:pPr>
      <w:r>
        <w:rPr>
          <w:noProof/>
          <w:color w:val="FF0000"/>
          <w:sz w:val="24"/>
          <w:szCs w:val="24"/>
        </w:rPr>
        <w:drawing>
          <wp:inline distT="0" distB="0" distL="0" distR="0" wp14:anchorId="323F83C1" wp14:editId="49AE4114">
            <wp:extent cx="3930650" cy="1327150"/>
            <wp:effectExtent l="0" t="19050" r="0" b="44450"/>
            <wp:docPr id="87" name="Diagrama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49023731" w14:textId="77777777" w:rsidR="00FD7D45" w:rsidRPr="007E78BA" w:rsidRDefault="00FD7D45" w:rsidP="007E78BA">
      <w:pPr>
        <w:pStyle w:val="Ttulo1"/>
        <w:widowControl/>
        <w:numPr>
          <w:ilvl w:val="0"/>
          <w:numId w:val="2"/>
        </w:numPr>
        <w:autoSpaceDE/>
        <w:autoSpaceDN/>
        <w:spacing w:before="60" w:after="120" w:line="360" w:lineRule="auto"/>
        <w:rPr>
          <w:rFonts w:ascii="Calibri" w:hAnsi="Calibri" w:cs="Calibri"/>
          <w:sz w:val="24"/>
          <w:szCs w:val="24"/>
        </w:rPr>
      </w:pPr>
      <w:bookmarkStart w:id="44" w:name="_Toc470192398"/>
      <w:bookmarkStart w:id="45" w:name="_Toc471466685"/>
      <w:bookmarkStart w:id="46" w:name="_Toc68090951"/>
      <w:bookmarkStart w:id="47" w:name="_Toc68936894"/>
      <w:bookmarkStart w:id="48" w:name="_Toc68937080"/>
      <w:bookmarkStart w:id="49" w:name="_Toc74391114"/>
      <w:bookmarkStart w:id="50" w:name="_Toc74468874"/>
      <w:r w:rsidRPr="007E78BA">
        <w:rPr>
          <w:rFonts w:ascii="Calibri" w:hAnsi="Calibri" w:cs="Calibri"/>
          <w:sz w:val="24"/>
          <w:szCs w:val="24"/>
        </w:rPr>
        <w:t>Avaliação Qualitativa</w:t>
      </w:r>
      <w:bookmarkEnd w:id="44"/>
      <w:bookmarkEnd w:id="45"/>
      <w:r w:rsidRPr="007E78BA">
        <w:rPr>
          <w:rFonts w:ascii="Calibri" w:hAnsi="Calibri" w:cs="Calibri"/>
          <w:sz w:val="24"/>
          <w:szCs w:val="24"/>
        </w:rPr>
        <w:t xml:space="preserve"> - Fatores de Avaliação</w:t>
      </w:r>
      <w:bookmarkEnd w:id="46"/>
      <w:bookmarkEnd w:id="47"/>
      <w:bookmarkEnd w:id="48"/>
      <w:bookmarkEnd w:id="49"/>
      <w:bookmarkEnd w:id="50"/>
    </w:p>
    <w:p w14:paraId="750C291E" w14:textId="77777777" w:rsidR="00FD7D45" w:rsidRPr="008D72A9" w:rsidRDefault="00FD7D45" w:rsidP="00FD7D45">
      <w:pPr>
        <w:spacing w:before="60" w:after="120" w:line="360" w:lineRule="auto"/>
        <w:ind w:firstLine="720"/>
        <w:jc w:val="both"/>
        <w:rPr>
          <w:rFonts w:ascii="Calibri" w:hAnsi="Calibri" w:cs="Calibri"/>
          <w:sz w:val="24"/>
          <w:szCs w:val="24"/>
        </w:rPr>
      </w:pPr>
      <w:r w:rsidRPr="008D72A9">
        <w:rPr>
          <w:rFonts w:ascii="Calibri" w:hAnsi="Calibri" w:cs="Calibri"/>
          <w:sz w:val="24"/>
          <w:szCs w:val="24"/>
        </w:rPr>
        <w:t xml:space="preserve">Na avaliação qualitativa serão analisados os fatores que, de certa forma, maximizam o grau de exposição de um processo. Nisso, foram definidos os seguintes: </w:t>
      </w:r>
      <w:r w:rsidRPr="008D72A9">
        <w:rPr>
          <w:rFonts w:ascii="Calibri" w:hAnsi="Calibri" w:cs="Calibri"/>
          <w:b/>
          <w:bCs/>
          <w:sz w:val="24"/>
          <w:szCs w:val="24"/>
        </w:rPr>
        <w:t xml:space="preserve">Relevância Estratégica do Processo, Demandas do TCU/CGU/MP, Demanda Judicial em Saúde, Recursos Humanos, Recursos Tecnológicos, </w:t>
      </w:r>
      <w:r w:rsidRPr="008D72A9">
        <w:rPr>
          <w:rFonts w:ascii="Calibri" w:hAnsi="Calibri" w:cs="Calibri"/>
          <w:sz w:val="24"/>
          <w:szCs w:val="24"/>
        </w:rPr>
        <w:t>e</w:t>
      </w:r>
      <w:r w:rsidRPr="008D72A9">
        <w:rPr>
          <w:rFonts w:ascii="Calibri" w:hAnsi="Calibri" w:cs="Calibri"/>
          <w:b/>
          <w:bCs/>
          <w:sz w:val="24"/>
          <w:szCs w:val="24"/>
        </w:rPr>
        <w:t xml:space="preserve"> Estrutura Organizacional</w:t>
      </w:r>
      <w:r w:rsidRPr="008D72A9">
        <w:rPr>
          <w:rFonts w:ascii="Calibri" w:hAnsi="Calibri" w:cs="Calibri"/>
          <w:sz w:val="24"/>
          <w:szCs w:val="24"/>
        </w:rPr>
        <w:t>, seus respectivos pesos para se obter a nota da avaliação qualitativa.</w:t>
      </w:r>
    </w:p>
    <w:p w14:paraId="6E924753" w14:textId="77777777" w:rsidR="00FD7D45" w:rsidRPr="008D72A9" w:rsidRDefault="00FD7D45" w:rsidP="00FD7D45">
      <w:pPr>
        <w:spacing w:before="60" w:after="120" w:line="360" w:lineRule="auto"/>
        <w:ind w:firstLine="720"/>
        <w:jc w:val="both"/>
        <w:rPr>
          <w:rFonts w:ascii="Calibri" w:hAnsi="Calibri" w:cs="Calibri"/>
          <w:sz w:val="24"/>
          <w:szCs w:val="24"/>
        </w:rPr>
      </w:pPr>
      <w:r w:rsidRPr="008D72A9">
        <w:rPr>
          <w:rFonts w:ascii="Calibri" w:hAnsi="Calibri" w:cs="Calibri"/>
          <w:sz w:val="24"/>
          <w:szCs w:val="24"/>
        </w:rPr>
        <w:t>Ressalta-se que a escola dos fatores para avalição qualitativa foi realizada com a contribuição de técnicos das diversas Unidades do MS.</w:t>
      </w:r>
    </w:p>
    <w:p w14:paraId="7CC73CDA" w14:textId="77777777" w:rsidR="00FD7D45" w:rsidRPr="008D72A9" w:rsidRDefault="00FD7D45" w:rsidP="00FD7D45">
      <w:pPr>
        <w:spacing w:before="60" w:after="120" w:line="360" w:lineRule="auto"/>
        <w:ind w:firstLine="720"/>
        <w:jc w:val="both"/>
        <w:rPr>
          <w:rFonts w:cstheme="minorHAnsi"/>
          <w:sz w:val="24"/>
          <w:szCs w:val="24"/>
        </w:rPr>
      </w:pPr>
      <w:r w:rsidRPr="008D72A9">
        <w:rPr>
          <w:rFonts w:cstheme="minorHAnsi"/>
          <w:sz w:val="24"/>
          <w:szCs w:val="24"/>
        </w:rPr>
        <w:t xml:space="preserve">Para a obtenção da nota da avaliação qualitativa, inicialmente atribuiu-se percentuais para cada fator da avaliação, utilizando-se a ferramenta </w:t>
      </w:r>
      <w:proofErr w:type="spellStart"/>
      <w:r w:rsidRPr="008D72A9">
        <w:rPr>
          <w:rFonts w:cstheme="minorHAnsi"/>
          <w:i/>
          <w:sz w:val="24"/>
          <w:szCs w:val="24"/>
        </w:rPr>
        <w:t>Analytic</w:t>
      </w:r>
      <w:proofErr w:type="spellEnd"/>
      <w:r w:rsidRPr="008D72A9">
        <w:rPr>
          <w:rFonts w:cstheme="minorHAnsi"/>
          <w:i/>
          <w:sz w:val="24"/>
          <w:szCs w:val="24"/>
        </w:rPr>
        <w:t xml:space="preserve"> </w:t>
      </w:r>
      <w:proofErr w:type="spellStart"/>
      <w:r w:rsidRPr="008D72A9">
        <w:rPr>
          <w:rFonts w:cstheme="minorHAnsi"/>
          <w:i/>
          <w:sz w:val="24"/>
          <w:szCs w:val="24"/>
        </w:rPr>
        <w:t>Hierarchy</w:t>
      </w:r>
      <w:proofErr w:type="spellEnd"/>
      <w:r w:rsidRPr="008D72A9">
        <w:rPr>
          <w:rFonts w:cstheme="minorHAnsi"/>
          <w:i/>
          <w:sz w:val="24"/>
          <w:szCs w:val="24"/>
        </w:rPr>
        <w:t xml:space="preserve"> </w:t>
      </w:r>
      <w:proofErr w:type="spellStart"/>
      <w:r w:rsidRPr="008D72A9">
        <w:rPr>
          <w:rFonts w:cstheme="minorHAnsi"/>
          <w:i/>
          <w:sz w:val="24"/>
          <w:szCs w:val="24"/>
        </w:rPr>
        <w:t>Process</w:t>
      </w:r>
      <w:proofErr w:type="spellEnd"/>
      <w:r w:rsidRPr="008D72A9">
        <w:rPr>
          <w:rFonts w:cstheme="minorHAnsi"/>
          <w:i/>
          <w:sz w:val="24"/>
          <w:szCs w:val="24"/>
        </w:rPr>
        <w:t xml:space="preserve"> (AHP</w:t>
      </w:r>
      <w:r w:rsidRPr="008D72A9">
        <w:rPr>
          <w:rStyle w:val="Refdenotaderodap"/>
          <w:rFonts w:cstheme="minorHAnsi"/>
          <w:i/>
          <w:sz w:val="24"/>
          <w:szCs w:val="24"/>
        </w:rPr>
        <w:footnoteReference w:id="2"/>
      </w:r>
      <w:r w:rsidRPr="008D72A9">
        <w:rPr>
          <w:rFonts w:cstheme="minorHAnsi"/>
          <w:i/>
          <w:sz w:val="24"/>
          <w:szCs w:val="24"/>
        </w:rPr>
        <w:t xml:space="preserve">), </w:t>
      </w:r>
      <w:r w:rsidRPr="008D72A9">
        <w:rPr>
          <w:rFonts w:cstheme="minorHAnsi"/>
          <w:iCs/>
          <w:sz w:val="24"/>
          <w:szCs w:val="24"/>
        </w:rPr>
        <w:t>com a participação também de técnicos das diversas áreas do Ministério da Saúde</w:t>
      </w:r>
      <w:r w:rsidRPr="008D72A9">
        <w:rPr>
          <w:rFonts w:cstheme="minorHAnsi"/>
          <w:sz w:val="24"/>
          <w:szCs w:val="24"/>
        </w:rPr>
        <w:t xml:space="preserve">. </w:t>
      </w:r>
    </w:p>
    <w:p w14:paraId="02766139" w14:textId="56C34E84" w:rsidR="00FD7D45" w:rsidRDefault="00FD7D45" w:rsidP="00FD7D45">
      <w:pPr>
        <w:spacing w:before="60" w:after="120" w:line="360" w:lineRule="auto"/>
        <w:ind w:firstLine="720"/>
        <w:jc w:val="both"/>
        <w:rPr>
          <w:rFonts w:cstheme="minorHAnsi"/>
          <w:sz w:val="24"/>
          <w:szCs w:val="24"/>
        </w:rPr>
      </w:pPr>
      <w:r w:rsidRPr="008D72A9">
        <w:rPr>
          <w:rFonts w:cstheme="minorHAnsi"/>
          <w:sz w:val="24"/>
          <w:szCs w:val="24"/>
        </w:rPr>
        <w:t>Assim, após o registro dos técnicos, por meio das comparações pareadas, foram definidos os seguintes percentuais:</w:t>
      </w:r>
    </w:p>
    <w:p w14:paraId="1DA814F1" w14:textId="4FDD6779" w:rsidR="00CA0591" w:rsidRPr="008D72A9" w:rsidRDefault="00CA0591" w:rsidP="00CA0591">
      <w:pPr>
        <w:spacing w:before="60" w:after="120" w:line="360" w:lineRule="auto"/>
        <w:jc w:val="center"/>
        <w:rPr>
          <w:rFonts w:cstheme="minorHAnsi"/>
          <w:sz w:val="24"/>
          <w:szCs w:val="24"/>
        </w:rPr>
      </w:pPr>
      <w:r w:rsidRPr="00CA0591">
        <w:rPr>
          <w:rFonts w:cstheme="minorHAnsi"/>
          <w:sz w:val="24"/>
          <w:szCs w:val="24"/>
        </w:rPr>
        <w:t xml:space="preserve">Figura </w:t>
      </w:r>
      <w:r>
        <w:rPr>
          <w:rFonts w:cstheme="minorHAnsi"/>
          <w:sz w:val="24"/>
          <w:szCs w:val="24"/>
        </w:rPr>
        <w:t>1</w:t>
      </w:r>
      <w:r w:rsidRPr="00CA0591">
        <w:rPr>
          <w:rFonts w:cstheme="minorHAnsi"/>
          <w:sz w:val="24"/>
          <w:szCs w:val="24"/>
        </w:rPr>
        <w:t xml:space="preserve"> – Percentuais </w:t>
      </w:r>
      <w:r>
        <w:rPr>
          <w:rFonts w:cstheme="minorHAnsi"/>
          <w:sz w:val="24"/>
          <w:szCs w:val="24"/>
        </w:rPr>
        <w:t xml:space="preserve">dos Fatores </w:t>
      </w:r>
      <w:r w:rsidRPr="00CA0591">
        <w:rPr>
          <w:rFonts w:cstheme="minorHAnsi"/>
          <w:sz w:val="24"/>
          <w:szCs w:val="24"/>
        </w:rPr>
        <w:t xml:space="preserve">da </w:t>
      </w:r>
      <w:r>
        <w:rPr>
          <w:rFonts w:cstheme="minorHAnsi"/>
          <w:sz w:val="24"/>
          <w:szCs w:val="24"/>
        </w:rPr>
        <w:t>A</w:t>
      </w:r>
      <w:r w:rsidRPr="00CA0591">
        <w:rPr>
          <w:rFonts w:cstheme="minorHAnsi"/>
          <w:sz w:val="24"/>
          <w:szCs w:val="24"/>
        </w:rPr>
        <w:t xml:space="preserve">valiação </w:t>
      </w:r>
      <w:r>
        <w:rPr>
          <w:rFonts w:cstheme="minorHAnsi"/>
          <w:sz w:val="24"/>
          <w:szCs w:val="24"/>
        </w:rPr>
        <w:t>Q</w:t>
      </w:r>
      <w:r w:rsidRPr="00CA0591">
        <w:rPr>
          <w:rFonts w:cstheme="minorHAnsi"/>
          <w:sz w:val="24"/>
          <w:szCs w:val="24"/>
        </w:rPr>
        <w:t>ualitativa</w:t>
      </w:r>
    </w:p>
    <w:p w14:paraId="127C7C16" w14:textId="77777777" w:rsidR="00FD7D45" w:rsidRDefault="00FD7D45" w:rsidP="00FD7D45">
      <w:pPr>
        <w:spacing w:before="60" w:after="120" w:line="360" w:lineRule="auto"/>
        <w:ind w:firstLine="720"/>
        <w:jc w:val="both"/>
        <w:rPr>
          <w:sz w:val="24"/>
          <w:szCs w:val="24"/>
        </w:rPr>
      </w:pPr>
      <w:r w:rsidRPr="00033D53">
        <w:rPr>
          <w:noProof/>
          <w:sz w:val="24"/>
          <w:szCs w:val="24"/>
          <w:lang w:eastAsia="pt-BR"/>
        </w:rPr>
        <w:drawing>
          <wp:inline distT="0" distB="0" distL="0" distR="0" wp14:anchorId="3D037E6C" wp14:editId="52906A86">
            <wp:extent cx="4832350" cy="2152650"/>
            <wp:effectExtent l="38100" t="0" r="44450" b="0"/>
            <wp:docPr id="88" name="Diagrama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599B963F" w14:textId="77777777" w:rsidR="00FD7D45" w:rsidRPr="008D72A9" w:rsidRDefault="00FD7D45" w:rsidP="00FD7D45">
      <w:pPr>
        <w:ind w:firstLine="709"/>
        <w:rPr>
          <w:rFonts w:ascii="Calibri" w:hAnsi="Calibri" w:cs="Calibri"/>
          <w:sz w:val="24"/>
          <w:szCs w:val="24"/>
        </w:rPr>
      </w:pPr>
      <w:r w:rsidRPr="008D72A9">
        <w:rPr>
          <w:rFonts w:ascii="Calibri" w:hAnsi="Calibri" w:cs="Calibri"/>
          <w:sz w:val="24"/>
          <w:szCs w:val="24"/>
        </w:rPr>
        <w:t>Cada processo será submetido as seguintes análises qualitativas:</w:t>
      </w:r>
    </w:p>
    <w:p w14:paraId="40DFDDEE" w14:textId="77777777" w:rsidR="00FD7D45" w:rsidRPr="008D72A9" w:rsidRDefault="00FD7D45" w:rsidP="00FD7D45">
      <w:pPr>
        <w:rPr>
          <w:rFonts w:ascii="Calibri" w:hAnsi="Calibri" w:cs="Calibri"/>
          <w:sz w:val="24"/>
          <w:szCs w:val="24"/>
        </w:rPr>
      </w:pPr>
      <w:r w:rsidRPr="008D72A9">
        <w:rPr>
          <w:rFonts w:ascii="Calibri" w:hAnsi="Calibri" w:cs="Calibri"/>
          <w:b/>
          <w:bCs/>
          <w:smallCaps/>
          <w:sz w:val="24"/>
          <w:szCs w:val="24"/>
        </w:rPr>
        <w:t>Relevância Estratégica do Processo</w:t>
      </w:r>
      <w:r w:rsidRPr="008D72A9">
        <w:rPr>
          <w:rFonts w:ascii="Calibri" w:hAnsi="Calibri" w:cs="Calibri"/>
          <w:sz w:val="24"/>
          <w:szCs w:val="24"/>
        </w:rPr>
        <w:t>: Qual a relevância estratégica do processo para o cumprimento dos objetivos institucionais (Mapa Estratégico)?</w:t>
      </w:r>
    </w:p>
    <w:p w14:paraId="6751D4A4" w14:textId="77777777" w:rsidR="00FD7D45" w:rsidRPr="008D72A9" w:rsidRDefault="00FD7D45" w:rsidP="00201ED4">
      <w:pPr>
        <w:spacing w:after="0"/>
        <w:ind w:left="284"/>
        <w:rPr>
          <w:rFonts w:ascii="Calibri" w:hAnsi="Calibri" w:cs="Calibri"/>
          <w:sz w:val="24"/>
          <w:szCs w:val="24"/>
        </w:rPr>
      </w:pPr>
      <w:r w:rsidRPr="008D72A9">
        <w:rPr>
          <w:rFonts w:ascii="Calibri" w:hAnsi="Calibri" w:cs="Calibri"/>
          <w:sz w:val="24"/>
          <w:szCs w:val="24"/>
        </w:rPr>
        <w:t xml:space="preserve">(3) Alta </w:t>
      </w:r>
    </w:p>
    <w:p w14:paraId="495787F8" w14:textId="77777777" w:rsidR="00FD7D45" w:rsidRPr="008D72A9" w:rsidRDefault="00FD7D45" w:rsidP="00201ED4">
      <w:pPr>
        <w:spacing w:after="0"/>
        <w:ind w:left="284"/>
        <w:rPr>
          <w:rFonts w:ascii="Calibri" w:hAnsi="Calibri" w:cs="Calibri"/>
          <w:sz w:val="24"/>
          <w:szCs w:val="24"/>
        </w:rPr>
      </w:pPr>
      <w:r w:rsidRPr="008D72A9">
        <w:rPr>
          <w:rFonts w:ascii="Calibri" w:hAnsi="Calibri" w:cs="Calibri"/>
          <w:sz w:val="24"/>
          <w:szCs w:val="24"/>
        </w:rPr>
        <w:t>(2) Média</w:t>
      </w:r>
    </w:p>
    <w:p w14:paraId="3E08209E" w14:textId="77777777" w:rsidR="00FD7D45" w:rsidRPr="008D72A9" w:rsidRDefault="00FD7D45" w:rsidP="00201ED4">
      <w:pPr>
        <w:spacing w:after="0"/>
        <w:ind w:left="284"/>
        <w:rPr>
          <w:rFonts w:ascii="Calibri" w:hAnsi="Calibri" w:cs="Calibri"/>
          <w:sz w:val="24"/>
          <w:szCs w:val="24"/>
        </w:rPr>
      </w:pPr>
      <w:r w:rsidRPr="008D72A9">
        <w:rPr>
          <w:rFonts w:ascii="Calibri" w:hAnsi="Calibri" w:cs="Calibri"/>
          <w:sz w:val="24"/>
          <w:szCs w:val="24"/>
        </w:rPr>
        <w:t>(1) Baixa</w:t>
      </w:r>
    </w:p>
    <w:p w14:paraId="58D819F9" w14:textId="77777777" w:rsidR="00FD7D45" w:rsidRPr="007F19B7" w:rsidRDefault="00FD7D45" w:rsidP="00201ED4">
      <w:pPr>
        <w:spacing w:after="0"/>
        <w:ind w:left="284"/>
        <w:jc w:val="both"/>
        <w:rPr>
          <w:rFonts w:ascii="Calibri" w:hAnsi="Calibri" w:cs="Calibri"/>
          <w:i/>
          <w:sz w:val="24"/>
          <w:szCs w:val="24"/>
        </w:rPr>
      </w:pPr>
      <w:r w:rsidRPr="007F19B7">
        <w:rPr>
          <w:rFonts w:ascii="Calibri" w:hAnsi="Calibri" w:cs="Calibri"/>
          <w:i/>
          <w:sz w:val="24"/>
          <w:szCs w:val="24"/>
        </w:rPr>
        <w:t>Fonte: Cadeia de Valor</w:t>
      </w:r>
      <w:bookmarkStart w:id="51" w:name="_Toc470192400"/>
      <w:bookmarkStart w:id="52" w:name="_Toc471466687"/>
      <w:r w:rsidRPr="007F19B7">
        <w:rPr>
          <w:rFonts w:ascii="Calibri" w:hAnsi="Calibri" w:cs="Calibri"/>
          <w:i/>
          <w:sz w:val="24"/>
          <w:szCs w:val="24"/>
        </w:rPr>
        <w:t xml:space="preserve"> e Mapa Estratégico do MS.</w:t>
      </w:r>
    </w:p>
    <w:p w14:paraId="756957B8" w14:textId="77777777" w:rsidR="00FD7D45" w:rsidRPr="008D72A9" w:rsidRDefault="00FD7D45" w:rsidP="00FD7D45">
      <w:pPr>
        <w:ind w:left="709"/>
        <w:jc w:val="both"/>
        <w:rPr>
          <w:rFonts w:ascii="Calibri" w:hAnsi="Calibri" w:cs="Calibri"/>
          <w:i/>
          <w:sz w:val="24"/>
          <w:szCs w:val="24"/>
        </w:rPr>
      </w:pPr>
    </w:p>
    <w:p w14:paraId="65572E1E" w14:textId="77777777" w:rsidR="00FD7D45" w:rsidRPr="008D72A9" w:rsidRDefault="00FD7D45" w:rsidP="00FD7D45">
      <w:pPr>
        <w:jc w:val="both"/>
        <w:rPr>
          <w:rFonts w:ascii="Calibri" w:hAnsi="Calibri" w:cs="Calibri"/>
          <w:sz w:val="24"/>
          <w:szCs w:val="24"/>
        </w:rPr>
      </w:pPr>
      <w:r w:rsidRPr="008D72A9">
        <w:rPr>
          <w:rFonts w:ascii="Calibri" w:hAnsi="Calibri" w:cs="Calibri"/>
          <w:b/>
          <w:bCs/>
          <w:smallCaps/>
          <w:sz w:val="24"/>
          <w:szCs w:val="24"/>
        </w:rPr>
        <w:t>Demandas do TCU</w:t>
      </w:r>
      <w:bookmarkEnd w:id="51"/>
      <w:bookmarkEnd w:id="52"/>
      <w:r w:rsidRPr="008D72A9">
        <w:rPr>
          <w:rFonts w:ascii="Calibri" w:hAnsi="Calibri" w:cs="Calibri"/>
          <w:b/>
          <w:bCs/>
          <w:smallCaps/>
          <w:sz w:val="24"/>
          <w:szCs w:val="24"/>
        </w:rPr>
        <w:t xml:space="preserve">/CGU/MP: </w:t>
      </w:r>
      <w:r w:rsidRPr="008D72A9">
        <w:rPr>
          <w:rFonts w:ascii="Calibri" w:hAnsi="Calibri" w:cs="Calibri"/>
          <w:sz w:val="24"/>
          <w:szCs w:val="24"/>
        </w:rPr>
        <w:t>Existe determinação/recomendação para o processo em análise?</w:t>
      </w:r>
    </w:p>
    <w:p w14:paraId="5C9133E7" w14:textId="77777777" w:rsidR="00FD7D45" w:rsidRPr="008D72A9" w:rsidRDefault="00FD7D45" w:rsidP="00201ED4">
      <w:pPr>
        <w:spacing w:after="0"/>
        <w:ind w:left="284"/>
        <w:rPr>
          <w:rFonts w:ascii="Calibri" w:hAnsi="Calibri" w:cs="Calibri"/>
          <w:sz w:val="24"/>
          <w:szCs w:val="24"/>
        </w:rPr>
      </w:pPr>
      <w:r w:rsidRPr="008D72A9">
        <w:rPr>
          <w:rFonts w:ascii="Calibri" w:hAnsi="Calibri" w:cs="Calibri"/>
          <w:sz w:val="24"/>
          <w:szCs w:val="24"/>
        </w:rPr>
        <w:t xml:space="preserve">(2) Sim, </w:t>
      </w:r>
      <w:proofErr w:type="gramStart"/>
      <w:r w:rsidRPr="008D72A9">
        <w:rPr>
          <w:rFonts w:ascii="Calibri" w:hAnsi="Calibri" w:cs="Calibri"/>
          <w:sz w:val="24"/>
          <w:szCs w:val="24"/>
        </w:rPr>
        <w:t>Não</w:t>
      </w:r>
      <w:proofErr w:type="gramEnd"/>
      <w:r w:rsidRPr="008D72A9">
        <w:rPr>
          <w:rFonts w:ascii="Calibri" w:hAnsi="Calibri" w:cs="Calibri"/>
          <w:sz w:val="24"/>
          <w:szCs w:val="24"/>
        </w:rPr>
        <w:t xml:space="preserve"> atendida/Não cumprida</w:t>
      </w:r>
    </w:p>
    <w:p w14:paraId="4980FA30" w14:textId="77777777" w:rsidR="00FD7D45" w:rsidRPr="008D72A9" w:rsidRDefault="00FD7D45" w:rsidP="00201ED4">
      <w:pPr>
        <w:spacing w:after="0"/>
        <w:ind w:left="284"/>
        <w:rPr>
          <w:rFonts w:ascii="Calibri" w:hAnsi="Calibri" w:cs="Calibri"/>
          <w:sz w:val="24"/>
          <w:szCs w:val="24"/>
        </w:rPr>
      </w:pPr>
      <w:r w:rsidRPr="008D72A9">
        <w:rPr>
          <w:rFonts w:ascii="Calibri" w:hAnsi="Calibri" w:cs="Calibri"/>
          <w:sz w:val="24"/>
          <w:szCs w:val="24"/>
        </w:rPr>
        <w:t xml:space="preserve">(1) Sim, </w:t>
      </w:r>
      <w:proofErr w:type="gramStart"/>
      <w:r w:rsidRPr="008D72A9">
        <w:rPr>
          <w:rFonts w:ascii="Calibri" w:hAnsi="Calibri" w:cs="Calibri"/>
          <w:sz w:val="24"/>
          <w:szCs w:val="24"/>
        </w:rPr>
        <w:t>Atendida/Monitorada</w:t>
      </w:r>
      <w:proofErr w:type="gramEnd"/>
      <w:r w:rsidRPr="008D72A9">
        <w:rPr>
          <w:rFonts w:ascii="Calibri" w:hAnsi="Calibri" w:cs="Calibri"/>
          <w:sz w:val="24"/>
          <w:szCs w:val="24"/>
        </w:rPr>
        <w:t xml:space="preserve"> </w:t>
      </w:r>
    </w:p>
    <w:p w14:paraId="740AD209" w14:textId="77777777" w:rsidR="00FD7D45" w:rsidRPr="008D72A9" w:rsidRDefault="00FD7D45" w:rsidP="00201ED4">
      <w:pPr>
        <w:spacing w:after="0"/>
        <w:ind w:left="284"/>
        <w:rPr>
          <w:rFonts w:ascii="Calibri" w:hAnsi="Calibri" w:cs="Calibri"/>
          <w:sz w:val="24"/>
          <w:szCs w:val="24"/>
        </w:rPr>
      </w:pPr>
      <w:r w:rsidRPr="008D72A9">
        <w:rPr>
          <w:rFonts w:ascii="Calibri" w:hAnsi="Calibri" w:cs="Calibri"/>
          <w:sz w:val="24"/>
          <w:szCs w:val="24"/>
        </w:rPr>
        <w:t>(0) Não possui determinação/recomendação</w:t>
      </w:r>
    </w:p>
    <w:p w14:paraId="5E2891DD" w14:textId="77777777" w:rsidR="00FD7D45" w:rsidRPr="00201ED4" w:rsidRDefault="00FD7D45" w:rsidP="00201ED4">
      <w:pPr>
        <w:spacing w:after="0"/>
        <w:ind w:left="284"/>
        <w:rPr>
          <w:rFonts w:ascii="Calibri" w:hAnsi="Calibri" w:cs="Calibri"/>
          <w:sz w:val="24"/>
          <w:szCs w:val="24"/>
        </w:rPr>
      </w:pPr>
      <w:r w:rsidRPr="007F19B7">
        <w:rPr>
          <w:rFonts w:ascii="Calibri" w:hAnsi="Calibri" w:cs="Calibri"/>
          <w:i/>
          <w:iCs/>
          <w:sz w:val="24"/>
          <w:szCs w:val="24"/>
        </w:rPr>
        <w:t>Fonte: Controles da Unidade – Recomendações de órgãos de fiscalização e controle</w:t>
      </w:r>
      <w:r w:rsidRPr="00201ED4">
        <w:rPr>
          <w:rFonts w:ascii="Calibri" w:hAnsi="Calibri" w:cs="Calibri"/>
          <w:sz w:val="24"/>
          <w:szCs w:val="24"/>
        </w:rPr>
        <w:t>.</w:t>
      </w:r>
    </w:p>
    <w:p w14:paraId="0E99ED84" w14:textId="77777777" w:rsidR="00201ED4" w:rsidRDefault="00201ED4" w:rsidP="00FD7D45">
      <w:pPr>
        <w:jc w:val="both"/>
        <w:rPr>
          <w:rFonts w:ascii="Calibri" w:hAnsi="Calibri" w:cs="Calibri"/>
          <w:b/>
          <w:bCs/>
          <w:smallCaps/>
          <w:sz w:val="24"/>
          <w:szCs w:val="24"/>
        </w:rPr>
      </w:pPr>
      <w:bookmarkStart w:id="53" w:name="_Toc470192402"/>
      <w:bookmarkStart w:id="54" w:name="_Toc471466689"/>
    </w:p>
    <w:p w14:paraId="5E110792" w14:textId="4566AA23" w:rsidR="00FD7D45" w:rsidRPr="008D72A9" w:rsidRDefault="00FD7D45" w:rsidP="00FD7D45">
      <w:pPr>
        <w:jc w:val="both"/>
        <w:rPr>
          <w:rFonts w:ascii="Calibri" w:hAnsi="Calibri" w:cs="Calibri"/>
          <w:sz w:val="24"/>
          <w:szCs w:val="24"/>
        </w:rPr>
      </w:pPr>
      <w:r w:rsidRPr="008D72A9">
        <w:rPr>
          <w:rFonts w:ascii="Calibri" w:hAnsi="Calibri" w:cs="Calibri"/>
          <w:b/>
          <w:bCs/>
          <w:smallCaps/>
          <w:sz w:val="24"/>
          <w:szCs w:val="24"/>
        </w:rPr>
        <w:t xml:space="preserve">Demanda Judicial em Saúde: </w:t>
      </w:r>
      <w:r w:rsidRPr="008D72A9">
        <w:rPr>
          <w:rFonts w:ascii="Calibri" w:hAnsi="Calibri" w:cs="Calibri"/>
          <w:sz w:val="24"/>
          <w:szCs w:val="24"/>
        </w:rPr>
        <w:t>Existe determinação judicial em saúde que impacta o processo em análise?</w:t>
      </w:r>
    </w:p>
    <w:p w14:paraId="4E5C5550" w14:textId="77777777" w:rsidR="00FD7D45" w:rsidRPr="008D72A9" w:rsidRDefault="00FD7D45" w:rsidP="00201ED4">
      <w:pPr>
        <w:spacing w:after="0"/>
        <w:ind w:left="284"/>
        <w:rPr>
          <w:rFonts w:ascii="Calibri" w:hAnsi="Calibri" w:cs="Calibri"/>
          <w:sz w:val="24"/>
          <w:szCs w:val="24"/>
        </w:rPr>
      </w:pPr>
      <w:r w:rsidRPr="008D72A9">
        <w:rPr>
          <w:rFonts w:ascii="Calibri" w:hAnsi="Calibri" w:cs="Calibri"/>
          <w:sz w:val="24"/>
          <w:szCs w:val="24"/>
        </w:rPr>
        <w:t xml:space="preserve">(3) Existe </w:t>
      </w:r>
    </w:p>
    <w:p w14:paraId="4741BFC5" w14:textId="77777777" w:rsidR="00FD7D45" w:rsidRPr="008D72A9" w:rsidRDefault="00FD7D45" w:rsidP="00201ED4">
      <w:pPr>
        <w:spacing w:after="0"/>
        <w:ind w:left="284"/>
        <w:rPr>
          <w:rFonts w:ascii="Calibri" w:hAnsi="Calibri" w:cs="Calibri"/>
          <w:sz w:val="24"/>
          <w:szCs w:val="24"/>
        </w:rPr>
      </w:pPr>
      <w:r w:rsidRPr="008D72A9">
        <w:rPr>
          <w:rFonts w:ascii="Calibri" w:hAnsi="Calibri" w:cs="Calibri"/>
          <w:sz w:val="24"/>
          <w:szCs w:val="24"/>
        </w:rPr>
        <w:t>(1) Não existe</w:t>
      </w:r>
      <w:bookmarkEnd w:id="53"/>
      <w:bookmarkEnd w:id="54"/>
    </w:p>
    <w:p w14:paraId="4066BD03" w14:textId="03A13141" w:rsidR="00FD7D45" w:rsidRPr="007F19B7" w:rsidRDefault="00FD7D45" w:rsidP="00201ED4">
      <w:pPr>
        <w:spacing w:after="0"/>
        <w:ind w:left="284"/>
        <w:rPr>
          <w:rFonts w:ascii="Calibri" w:hAnsi="Calibri" w:cs="Calibri"/>
          <w:i/>
          <w:iCs/>
          <w:sz w:val="24"/>
          <w:szCs w:val="24"/>
        </w:rPr>
      </w:pPr>
      <w:r w:rsidRPr="007F19B7">
        <w:rPr>
          <w:rFonts w:ascii="Calibri" w:hAnsi="Calibri" w:cs="Calibri"/>
          <w:i/>
          <w:iCs/>
          <w:sz w:val="24"/>
          <w:szCs w:val="24"/>
        </w:rPr>
        <w:t>Fonte: Controles da Unidade.</w:t>
      </w:r>
    </w:p>
    <w:p w14:paraId="59EB3492" w14:textId="77777777" w:rsidR="00201ED4" w:rsidRPr="00201ED4" w:rsidRDefault="00201ED4" w:rsidP="00201ED4">
      <w:pPr>
        <w:spacing w:after="0"/>
        <w:ind w:left="284"/>
        <w:rPr>
          <w:rFonts w:ascii="Calibri" w:hAnsi="Calibri" w:cs="Calibri"/>
          <w:sz w:val="24"/>
          <w:szCs w:val="24"/>
        </w:rPr>
      </w:pPr>
    </w:p>
    <w:p w14:paraId="406DEAC4" w14:textId="77777777" w:rsidR="00FD7D45" w:rsidRPr="008D72A9" w:rsidRDefault="00FD7D45" w:rsidP="00FD7D45">
      <w:pPr>
        <w:rPr>
          <w:rFonts w:ascii="Calibri" w:hAnsi="Calibri" w:cs="Calibri"/>
          <w:sz w:val="24"/>
          <w:szCs w:val="24"/>
        </w:rPr>
      </w:pPr>
      <w:bookmarkStart w:id="55" w:name="_Toc470192403"/>
      <w:bookmarkStart w:id="56" w:name="_Toc471466690"/>
      <w:r w:rsidRPr="008D72A9">
        <w:rPr>
          <w:rFonts w:ascii="Calibri" w:hAnsi="Calibri" w:cs="Calibri"/>
          <w:b/>
          <w:bCs/>
          <w:smallCaps/>
          <w:sz w:val="24"/>
          <w:szCs w:val="24"/>
        </w:rPr>
        <w:t>Recursos Humanos</w:t>
      </w:r>
      <w:bookmarkEnd w:id="55"/>
      <w:bookmarkEnd w:id="56"/>
      <w:r w:rsidRPr="008D72A9">
        <w:rPr>
          <w:rFonts w:ascii="Calibri" w:hAnsi="Calibri" w:cs="Calibri"/>
          <w:b/>
          <w:bCs/>
          <w:smallCaps/>
          <w:sz w:val="24"/>
          <w:szCs w:val="24"/>
        </w:rPr>
        <w:t xml:space="preserve">: </w:t>
      </w:r>
      <w:r w:rsidRPr="008D72A9">
        <w:rPr>
          <w:rFonts w:ascii="Calibri" w:hAnsi="Calibri" w:cs="Calibri"/>
          <w:sz w:val="24"/>
          <w:szCs w:val="24"/>
        </w:rPr>
        <w:t>Quanto à capacidade operacional para a execução do processo em análise:</w:t>
      </w:r>
    </w:p>
    <w:p w14:paraId="0E51B909" w14:textId="77777777" w:rsidR="00FD7D45" w:rsidRPr="008D72A9" w:rsidRDefault="00FD7D45" w:rsidP="00201ED4">
      <w:pPr>
        <w:spacing w:after="0"/>
        <w:ind w:left="284"/>
        <w:rPr>
          <w:rFonts w:ascii="Calibri" w:hAnsi="Calibri" w:cs="Calibri"/>
          <w:sz w:val="24"/>
          <w:szCs w:val="24"/>
        </w:rPr>
      </w:pPr>
      <w:r w:rsidRPr="008D72A9">
        <w:rPr>
          <w:rFonts w:ascii="Calibri" w:hAnsi="Calibri" w:cs="Calibri"/>
          <w:sz w:val="24"/>
          <w:szCs w:val="24"/>
        </w:rPr>
        <w:t xml:space="preserve">(3) A quantidade de pessoas é insuficiente </w:t>
      </w:r>
    </w:p>
    <w:p w14:paraId="70344B09" w14:textId="77777777" w:rsidR="00FD7D45" w:rsidRPr="008D72A9" w:rsidRDefault="00FD7D45" w:rsidP="00201ED4">
      <w:pPr>
        <w:spacing w:after="0"/>
        <w:ind w:left="284"/>
        <w:rPr>
          <w:rFonts w:ascii="Calibri" w:hAnsi="Calibri" w:cs="Calibri"/>
          <w:sz w:val="24"/>
          <w:szCs w:val="24"/>
        </w:rPr>
      </w:pPr>
      <w:r w:rsidRPr="008D72A9">
        <w:rPr>
          <w:rFonts w:ascii="Calibri" w:hAnsi="Calibri" w:cs="Calibri"/>
          <w:sz w:val="24"/>
          <w:szCs w:val="24"/>
        </w:rPr>
        <w:t>(1) A quantidade de pessoas é suficiente</w:t>
      </w:r>
    </w:p>
    <w:p w14:paraId="212F7E06" w14:textId="7DA4232D" w:rsidR="00FD7D45" w:rsidRPr="007F19B7" w:rsidRDefault="00FD7D45" w:rsidP="00201ED4">
      <w:pPr>
        <w:spacing w:after="0"/>
        <w:ind w:left="284"/>
        <w:rPr>
          <w:rFonts w:ascii="Calibri" w:hAnsi="Calibri" w:cs="Calibri"/>
          <w:i/>
          <w:iCs/>
          <w:sz w:val="24"/>
          <w:szCs w:val="24"/>
        </w:rPr>
      </w:pPr>
      <w:r w:rsidRPr="007F19B7">
        <w:rPr>
          <w:rFonts w:ascii="Calibri" w:hAnsi="Calibri" w:cs="Calibri"/>
          <w:i/>
          <w:iCs/>
          <w:sz w:val="24"/>
          <w:szCs w:val="24"/>
        </w:rPr>
        <w:t>Fonte: RH e características e dados do processo.</w:t>
      </w:r>
    </w:p>
    <w:p w14:paraId="1CE674E1" w14:textId="77777777" w:rsidR="00201ED4" w:rsidRPr="007F19B7" w:rsidRDefault="00201ED4" w:rsidP="00201ED4">
      <w:pPr>
        <w:spacing w:after="0"/>
        <w:ind w:left="284"/>
        <w:rPr>
          <w:rFonts w:ascii="Calibri" w:hAnsi="Calibri" w:cs="Calibri"/>
          <w:i/>
          <w:iCs/>
          <w:sz w:val="24"/>
          <w:szCs w:val="24"/>
        </w:rPr>
      </w:pPr>
    </w:p>
    <w:p w14:paraId="3602796F" w14:textId="77777777" w:rsidR="00FD7D45" w:rsidRPr="008D72A9" w:rsidRDefault="00FD7D45" w:rsidP="00FD7D45">
      <w:pPr>
        <w:rPr>
          <w:rFonts w:ascii="Calibri" w:hAnsi="Calibri" w:cs="Calibri"/>
          <w:sz w:val="24"/>
          <w:szCs w:val="24"/>
        </w:rPr>
      </w:pPr>
      <w:r w:rsidRPr="008D72A9">
        <w:rPr>
          <w:rFonts w:ascii="Calibri" w:hAnsi="Calibri" w:cs="Calibri"/>
          <w:b/>
          <w:bCs/>
          <w:smallCaps/>
          <w:sz w:val="24"/>
          <w:szCs w:val="24"/>
        </w:rPr>
        <w:t xml:space="preserve">Recursos Tecnológicos: </w:t>
      </w:r>
      <w:r w:rsidRPr="008D72A9">
        <w:rPr>
          <w:rFonts w:ascii="Calibri" w:hAnsi="Calibri" w:cs="Calibri"/>
          <w:sz w:val="24"/>
          <w:szCs w:val="24"/>
        </w:rPr>
        <w:t>A automação ou os sistemas operacionais para a execução do processo em análise atende de forma adequada?</w:t>
      </w:r>
    </w:p>
    <w:p w14:paraId="5346FA2B" w14:textId="77777777" w:rsidR="00FD7D45" w:rsidRPr="008D72A9" w:rsidRDefault="00FD7D45" w:rsidP="00201ED4">
      <w:pPr>
        <w:spacing w:after="0"/>
        <w:ind w:left="284"/>
        <w:rPr>
          <w:rFonts w:ascii="Calibri" w:hAnsi="Calibri" w:cs="Calibri"/>
          <w:sz w:val="24"/>
          <w:szCs w:val="24"/>
        </w:rPr>
      </w:pPr>
      <w:r w:rsidRPr="008D72A9">
        <w:rPr>
          <w:rFonts w:ascii="Calibri" w:hAnsi="Calibri" w:cs="Calibri"/>
          <w:sz w:val="24"/>
          <w:szCs w:val="24"/>
        </w:rPr>
        <w:t xml:space="preserve">(2) Não atente </w:t>
      </w:r>
    </w:p>
    <w:p w14:paraId="64F81FA2" w14:textId="77777777" w:rsidR="00FD7D45" w:rsidRPr="008D72A9" w:rsidRDefault="00FD7D45" w:rsidP="00201ED4">
      <w:pPr>
        <w:spacing w:after="0"/>
        <w:ind w:left="284"/>
        <w:rPr>
          <w:rFonts w:ascii="Calibri" w:hAnsi="Calibri" w:cs="Calibri"/>
          <w:sz w:val="24"/>
          <w:szCs w:val="24"/>
        </w:rPr>
      </w:pPr>
      <w:r w:rsidRPr="008D72A9">
        <w:rPr>
          <w:rFonts w:ascii="Calibri" w:hAnsi="Calibri" w:cs="Calibri"/>
          <w:sz w:val="24"/>
          <w:szCs w:val="24"/>
        </w:rPr>
        <w:t>(1) Atende</w:t>
      </w:r>
    </w:p>
    <w:p w14:paraId="1DE265CA" w14:textId="77777777" w:rsidR="00FD7D45" w:rsidRPr="008D72A9" w:rsidRDefault="00FD7D45" w:rsidP="00201ED4">
      <w:pPr>
        <w:spacing w:after="0"/>
        <w:ind w:left="284"/>
        <w:rPr>
          <w:rFonts w:ascii="Calibri" w:hAnsi="Calibri" w:cs="Calibri"/>
          <w:sz w:val="24"/>
          <w:szCs w:val="24"/>
        </w:rPr>
      </w:pPr>
      <w:r w:rsidRPr="008D72A9">
        <w:rPr>
          <w:rFonts w:ascii="Calibri" w:hAnsi="Calibri" w:cs="Calibri"/>
          <w:sz w:val="24"/>
          <w:szCs w:val="24"/>
        </w:rPr>
        <w:t>(0) Não se aplica</w:t>
      </w:r>
    </w:p>
    <w:p w14:paraId="1167CB5B" w14:textId="3098B150" w:rsidR="00FD7D45" w:rsidRPr="007F19B7" w:rsidRDefault="00FD7D45" w:rsidP="00201ED4">
      <w:pPr>
        <w:spacing w:after="0"/>
        <w:ind w:left="284"/>
        <w:rPr>
          <w:rFonts w:ascii="Calibri" w:hAnsi="Calibri" w:cs="Calibri"/>
          <w:i/>
          <w:iCs/>
          <w:sz w:val="24"/>
          <w:szCs w:val="24"/>
        </w:rPr>
      </w:pPr>
      <w:r w:rsidRPr="007F19B7">
        <w:rPr>
          <w:rFonts w:ascii="Calibri" w:hAnsi="Calibri" w:cs="Calibri"/>
          <w:i/>
          <w:iCs/>
          <w:sz w:val="24"/>
          <w:szCs w:val="24"/>
        </w:rPr>
        <w:t>Fonte: características e dados do processo.</w:t>
      </w:r>
    </w:p>
    <w:p w14:paraId="6CD70FE5" w14:textId="77777777" w:rsidR="00201ED4" w:rsidRPr="00201ED4" w:rsidRDefault="00201ED4" w:rsidP="00201ED4">
      <w:pPr>
        <w:spacing w:after="0"/>
        <w:ind w:left="284"/>
        <w:rPr>
          <w:rFonts w:ascii="Calibri" w:hAnsi="Calibri" w:cs="Calibri"/>
          <w:sz w:val="24"/>
          <w:szCs w:val="24"/>
        </w:rPr>
      </w:pPr>
    </w:p>
    <w:p w14:paraId="55F114C9" w14:textId="77777777" w:rsidR="00FD7D45" w:rsidRPr="008D72A9" w:rsidRDefault="00FD7D45" w:rsidP="00FD7D45">
      <w:pPr>
        <w:rPr>
          <w:rFonts w:ascii="Calibri" w:hAnsi="Calibri" w:cs="Calibri"/>
          <w:sz w:val="24"/>
          <w:szCs w:val="24"/>
        </w:rPr>
      </w:pPr>
      <w:r w:rsidRPr="008D72A9">
        <w:rPr>
          <w:rFonts w:ascii="Calibri" w:hAnsi="Calibri" w:cs="Calibri"/>
          <w:b/>
          <w:bCs/>
          <w:smallCaps/>
          <w:sz w:val="24"/>
          <w:szCs w:val="24"/>
        </w:rPr>
        <w:t xml:space="preserve">Estrutura Organizacional: </w:t>
      </w:r>
      <w:r w:rsidRPr="008D72A9">
        <w:rPr>
          <w:rFonts w:ascii="Calibri" w:hAnsi="Calibri" w:cs="Calibri"/>
          <w:sz w:val="24"/>
          <w:szCs w:val="24"/>
        </w:rPr>
        <w:t>Houve alteração na estrutura organizacional e/ou em outros normativos que impactou na execução do processo em análise?</w:t>
      </w:r>
    </w:p>
    <w:p w14:paraId="3C7B7789" w14:textId="77777777" w:rsidR="00FD7D45" w:rsidRPr="008D72A9" w:rsidRDefault="00FD7D45" w:rsidP="00201ED4">
      <w:pPr>
        <w:spacing w:after="0"/>
        <w:ind w:left="284"/>
        <w:rPr>
          <w:rFonts w:ascii="Calibri" w:hAnsi="Calibri" w:cs="Calibri"/>
          <w:sz w:val="24"/>
          <w:szCs w:val="24"/>
        </w:rPr>
      </w:pPr>
      <w:r w:rsidRPr="008D72A9">
        <w:rPr>
          <w:rFonts w:ascii="Calibri" w:hAnsi="Calibri" w:cs="Calibri"/>
          <w:sz w:val="24"/>
          <w:szCs w:val="24"/>
        </w:rPr>
        <w:t>(2) Teve alteração e impactou os processos vinculados</w:t>
      </w:r>
    </w:p>
    <w:p w14:paraId="67A58D3F" w14:textId="77777777" w:rsidR="00FD7D45" w:rsidRPr="008D72A9" w:rsidRDefault="00FD7D45" w:rsidP="00201ED4">
      <w:pPr>
        <w:spacing w:after="0"/>
        <w:ind w:left="284"/>
        <w:rPr>
          <w:rFonts w:ascii="Calibri" w:hAnsi="Calibri" w:cs="Calibri"/>
          <w:sz w:val="24"/>
          <w:szCs w:val="24"/>
        </w:rPr>
      </w:pPr>
      <w:r w:rsidRPr="008D72A9">
        <w:rPr>
          <w:rFonts w:ascii="Calibri" w:hAnsi="Calibri" w:cs="Calibri"/>
          <w:sz w:val="24"/>
          <w:szCs w:val="24"/>
        </w:rPr>
        <w:t>(1) Teve alteração e não impactou os processos vinculados</w:t>
      </w:r>
    </w:p>
    <w:p w14:paraId="552898DB" w14:textId="77777777" w:rsidR="00FD7D45" w:rsidRPr="008D72A9" w:rsidRDefault="00FD7D45" w:rsidP="00201ED4">
      <w:pPr>
        <w:spacing w:after="0"/>
        <w:ind w:left="284"/>
        <w:rPr>
          <w:rFonts w:ascii="Calibri" w:hAnsi="Calibri" w:cs="Calibri"/>
          <w:sz w:val="24"/>
          <w:szCs w:val="24"/>
        </w:rPr>
      </w:pPr>
      <w:r w:rsidRPr="008D72A9">
        <w:rPr>
          <w:rFonts w:ascii="Calibri" w:hAnsi="Calibri" w:cs="Calibri"/>
          <w:sz w:val="24"/>
          <w:szCs w:val="24"/>
        </w:rPr>
        <w:t>(0) Não teve alteração</w:t>
      </w:r>
    </w:p>
    <w:p w14:paraId="117CE3C7" w14:textId="35FEABA0" w:rsidR="00FD7D45" w:rsidRPr="007F19B7" w:rsidRDefault="00FD7D45" w:rsidP="00201ED4">
      <w:pPr>
        <w:spacing w:after="0"/>
        <w:ind w:left="284"/>
        <w:rPr>
          <w:rFonts w:ascii="Calibri" w:hAnsi="Calibri" w:cs="Calibri"/>
          <w:i/>
          <w:iCs/>
          <w:sz w:val="24"/>
          <w:szCs w:val="24"/>
        </w:rPr>
      </w:pPr>
      <w:r w:rsidRPr="007F19B7">
        <w:rPr>
          <w:rFonts w:ascii="Calibri" w:hAnsi="Calibri" w:cs="Calibri"/>
          <w:i/>
          <w:iCs/>
          <w:sz w:val="24"/>
          <w:szCs w:val="24"/>
        </w:rPr>
        <w:t xml:space="preserve">Fonte: </w:t>
      </w:r>
      <w:r w:rsidR="007F19B7" w:rsidRPr="007F19B7">
        <w:rPr>
          <w:rFonts w:ascii="Calibri" w:hAnsi="Calibri" w:cs="Calibri"/>
          <w:i/>
          <w:iCs/>
          <w:sz w:val="24"/>
          <w:szCs w:val="24"/>
        </w:rPr>
        <w:t>Decretos e Portarias</w:t>
      </w:r>
    </w:p>
    <w:p w14:paraId="7F3AF114" w14:textId="77777777" w:rsidR="00FD7D45" w:rsidRPr="000B17C7" w:rsidRDefault="00FD7D45" w:rsidP="00FD7D45">
      <w:pPr>
        <w:spacing w:before="60" w:after="60"/>
        <w:jc w:val="both"/>
        <w:rPr>
          <w:iCs/>
          <w:sz w:val="24"/>
          <w:szCs w:val="24"/>
        </w:rPr>
      </w:pPr>
    </w:p>
    <w:p w14:paraId="133F776B" w14:textId="77777777" w:rsidR="00FD7D45" w:rsidRPr="008447E9" w:rsidRDefault="00FD7D45" w:rsidP="00586858">
      <w:pPr>
        <w:pStyle w:val="Ttulo2"/>
        <w:keepNext w:val="0"/>
        <w:keepLines w:val="0"/>
        <w:widowControl/>
        <w:numPr>
          <w:ilvl w:val="1"/>
          <w:numId w:val="6"/>
        </w:numPr>
        <w:autoSpaceDE/>
        <w:autoSpaceDN/>
        <w:spacing w:before="60" w:after="120" w:line="360" w:lineRule="auto"/>
        <w:rPr>
          <w:rFonts w:ascii="Calibri" w:hAnsi="Calibri" w:cs="Calibri"/>
          <w:color w:val="auto"/>
          <w:sz w:val="24"/>
          <w:szCs w:val="24"/>
        </w:rPr>
      </w:pPr>
      <w:bookmarkStart w:id="57" w:name="_Toc470192406"/>
      <w:bookmarkStart w:id="58" w:name="_Toc471466693"/>
      <w:bookmarkStart w:id="59" w:name="_Toc68090952"/>
      <w:bookmarkStart w:id="60" w:name="_Toc68936895"/>
      <w:bookmarkStart w:id="61" w:name="_Toc68937081"/>
      <w:bookmarkStart w:id="62" w:name="_Toc74391115"/>
      <w:bookmarkStart w:id="63" w:name="_Toc74468875"/>
      <w:r w:rsidRPr="008447E9">
        <w:rPr>
          <w:rFonts w:ascii="Calibri" w:hAnsi="Calibri" w:cs="Calibri"/>
          <w:color w:val="auto"/>
          <w:sz w:val="24"/>
          <w:szCs w:val="24"/>
        </w:rPr>
        <w:t>Classificação Final (Avaliação Quantitativa x Qualitativa)</w:t>
      </w:r>
      <w:bookmarkEnd w:id="57"/>
      <w:bookmarkEnd w:id="58"/>
      <w:bookmarkEnd w:id="59"/>
      <w:bookmarkEnd w:id="60"/>
      <w:bookmarkEnd w:id="61"/>
      <w:bookmarkEnd w:id="62"/>
      <w:bookmarkEnd w:id="63"/>
    </w:p>
    <w:p w14:paraId="04D4EDC3" w14:textId="77777777" w:rsidR="00FD7D45" w:rsidRPr="008D72A9" w:rsidRDefault="00FD7D45" w:rsidP="00FD7D45">
      <w:pPr>
        <w:spacing w:before="60" w:after="120" w:line="360" w:lineRule="auto"/>
        <w:ind w:firstLine="720"/>
        <w:jc w:val="both"/>
        <w:rPr>
          <w:rFonts w:ascii="Calibri" w:hAnsi="Calibri" w:cs="Calibri"/>
          <w:sz w:val="24"/>
          <w:szCs w:val="24"/>
        </w:rPr>
      </w:pPr>
      <w:r w:rsidRPr="008D72A9">
        <w:rPr>
          <w:rFonts w:ascii="Calibri" w:hAnsi="Calibri" w:cs="Calibri"/>
          <w:sz w:val="24"/>
          <w:szCs w:val="24"/>
        </w:rPr>
        <w:t xml:space="preserve">A classificação final de cada processo em </w:t>
      </w:r>
      <w:r w:rsidRPr="008D72A9">
        <w:rPr>
          <w:rFonts w:ascii="Calibri" w:hAnsi="Calibri" w:cs="Calibri"/>
          <w:b/>
          <w:bCs/>
          <w:sz w:val="24"/>
          <w:szCs w:val="24"/>
        </w:rPr>
        <w:t>PA – Prioridade Alta</w:t>
      </w:r>
      <w:r w:rsidRPr="008D72A9">
        <w:rPr>
          <w:rFonts w:ascii="Calibri" w:hAnsi="Calibri" w:cs="Calibri"/>
          <w:sz w:val="24"/>
          <w:szCs w:val="24"/>
        </w:rPr>
        <w:t xml:space="preserve">, </w:t>
      </w:r>
      <w:r w:rsidRPr="008D72A9">
        <w:rPr>
          <w:rFonts w:ascii="Calibri" w:hAnsi="Calibri" w:cs="Calibri"/>
          <w:b/>
          <w:bCs/>
          <w:sz w:val="24"/>
          <w:szCs w:val="24"/>
        </w:rPr>
        <w:t>PM – Prioridade Média</w:t>
      </w:r>
      <w:r w:rsidRPr="008D72A9">
        <w:rPr>
          <w:rFonts w:ascii="Calibri" w:hAnsi="Calibri" w:cs="Calibri"/>
          <w:sz w:val="24"/>
          <w:szCs w:val="24"/>
        </w:rPr>
        <w:t xml:space="preserve"> e </w:t>
      </w:r>
      <w:r w:rsidRPr="008D72A9">
        <w:rPr>
          <w:rFonts w:ascii="Calibri" w:hAnsi="Calibri" w:cs="Calibri"/>
          <w:b/>
          <w:bCs/>
          <w:sz w:val="24"/>
          <w:szCs w:val="24"/>
        </w:rPr>
        <w:t>PB – Prioridade Baixa</w:t>
      </w:r>
      <w:r w:rsidRPr="008D72A9">
        <w:rPr>
          <w:rFonts w:ascii="Calibri" w:hAnsi="Calibri" w:cs="Calibri"/>
          <w:sz w:val="24"/>
          <w:szCs w:val="24"/>
        </w:rPr>
        <w:t xml:space="preserve"> leva em consideração a Nota Quantitativa Final e da Nota Qualitativa Final, e seus respectivos pesos, conforme abaixo:</w:t>
      </w:r>
    </w:p>
    <w:p w14:paraId="77B1F38E" w14:textId="77777777" w:rsidR="00FD7D45" w:rsidRPr="005E615A" w:rsidRDefault="00FD7D45" w:rsidP="00FD7D45">
      <w:pPr>
        <w:spacing w:before="60" w:after="120" w:line="360" w:lineRule="auto"/>
        <w:ind w:firstLine="720"/>
        <w:jc w:val="both"/>
        <w:rPr>
          <w:sz w:val="20"/>
          <w:szCs w:val="20"/>
        </w:rPr>
      </w:pPr>
      <m:oMathPara>
        <m:oMath>
          <m:r>
            <w:rPr>
              <w:rFonts w:ascii="Cambria Math" w:hAnsi="Cambria Math"/>
              <w:sz w:val="20"/>
              <w:szCs w:val="20"/>
            </w:rPr>
            <m:t>CF</m:t>
          </m:r>
          <m:r>
            <w:rPr>
              <w:rStyle w:val="Refdenotaderodap"/>
              <w:rFonts w:ascii="Cambria Math" w:hAnsi="Cambria Math"/>
              <w:i/>
            </w:rPr>
            <w:footnoteReference w:id="3"/>
          </m:r>
          <m:r>
            <w:rPr>
              <w:rFonts w:ascii="Cambria Math" w:hAnsi="Cambria Math"/>
              <w:sz w:val="20"/>
              <w:szCs w:val="20"/>
            </w:rPr>
            <m:t>=</m:t>
          </m:r>
          <m:f>
            <m:fPr>
              <m:ctrlPr>
                <w:rPr>
                  <w:rFonts w:ascii="Cambria Math" w:hAnsi="Cambria Math"/>
                  <w:i/>
                  <w:sz w:val="20"/>
                  <w:szCs w:val="20"/>
                </w:rPr>
              </m:ctrlPr>
            </m:fPr>
            <m:num>
              <m:d>
                <m:dPr>
                  <m:begChr m:val="["/>
                  <m:endChr m:val="]"/>
                  <m:ctrlPr>
                    <w:rPr>
                      <w:rFonts w:ascii="Cambria Math" w:hAnsi="Cambria Math"/>
                      <w:i/>
                      <w:sz w:val="20"/>
                      <w:szCs w:val="20"/>
                    </w:rPr>
                  </m:ctrlPr>
                </m:dPr>
                <m:e>
                  <m:r>
                    <w:rPr>
                      <w:rFonts w:ascii="Cambria Math" w:hAnsi="Cambria Math"/>
                      <w:sz w:val="20"/>
                      <w:szCs w:val="20"/>
                    </w:rPr>
                    <m:t>20%×</m:t>
                  </m:r>
                  <m:d>
                    <m:dPr>
                      <m:ctrlPr>
                        <w:rPr>
                          <w:rFonts w:ascii="Cambria Math" w:hAnsi="Cambria Math"/>
                          <w:i/>
                          <w:sz w:val="20"/>
                          <w:szCs w:val="20"/>
                        </w:rPr>
                      </m:ctrlPr>
                    </m:dPr>
                    <m:e>
                      <m:r>
                        <w:rPr>
                          <w:rFonts w:ascii="Cambria Math" w:hAnsi="Cambria Math"/>
                          <w:sz w:val="20"/>
                          <w:szCs w:val="20"/>
                        </w:rPr>
                        <m:t>avaliação quantitativa</m:t>
                      </m:r>
                    </m:e>
                  </m:d>
                </m:e>
              </m:d>
              <m:r>
                <w:rPr>
                  <w:rFonts w:ascii="Cambria Math" w:hAnsi="Cambria Math"/>
                  <w:sz w:val="20"/>
                  <w:szCs w:val="20"/>
                </w:rPr>
                <m:t>+[80%×</m:t>
              </m:r>
              <m:d>
                <m:dPr>
                  <m:ctrlPr>
                    <w:rPr>
                      <w:rFonts w:ascii="Cambria Math" w:hAnsi="Cambria Math"/>
                      <w:i/>
                      <w:sz w:val="20"/>
                      <w:szCs w:val="20"/>
                    </w:rPr>
                  </m:ctrlPr>
                </m:dPr>
                <m:e>
                  <m:r>
                    <w:rPr>
                      <w:rFonts w:ascii="Cambria Math" w:hAnsi="Cambria Math"/>
                      <w:sz w:val="20"/>
                      <w:szCs w:val="20"/>
                    </w:rPr>
                    <m:t>avaliação qualitativa</m:t>
                  </m:r>
                </m:e>
              </m:d>
              <m:r>
                <w:rPr>
                  <w:rFonts w:ascii="Cambria Math" w:hAnsi="Cambria Math"/>
                  <w:sz w:val="20"/>
                  <w:szCs w:val="20"/>
                </w:rPr>
                <m:t>]</m:t>
              </m:r>
            </m:num>
            <m:den>
              <m:r>
                <w:rPr>
                  <w:rFonts w:ascii="Cambria Math" w:hAnsi="Cambria Math"/>
                  <w:sz w:val="20"/>
                  <w:szCs w:val="20"/>
                </w:rPr>
                <m:t>100</m:t>
              </m:r>
            </m:den>
          </m:f>
        </m:oMath>
      </m:oMathPara>
    </w:p>
    <w:p w14:paraId="00D984C1" w14:textId="586AE8B8" w:rsidR="00FD7D45" w:rsidRDefault="00FD7D45" w:rsidP="00FD7D45">
      <w:pPr>
        <w:spacing w:before="60" w:after="120" w:line="360" w:lineRule="auto"/>
        <w:ind w:firstLine="720"/>
        <w:jc w:val="both"/>
        <w:rPr>
          <w:rFonts w:ascii="Calibri" w:hAnsi="Calibri" w:cs="Calibri"/>
          <w:sz w:val="24"/>
          <w:szCs w:val="24"/>
        </w:rPr>
      </w:pPr>
      <w:r w:rsidRPr="008D72A9">
        <w:rPr>
          <w:rFonts w:ascii="Calibri" w:hAnsi="Calibri" w:cs="Calibri"/>
          <w:sz w:val="24"/>
          <w:szCs w:val="24"/>
        </w:rPr>
        <w:t xml:space="preserve">Os percentuais definidos para avaliação quantitativa e qualitativa foram definidos também por técnicos da Unidades, utilizando o modelo </w:t>
      </w:r>
      <w:proofErr w:type="spellStart"/>
      <w:r w:rsidRPr="008D72A9">
        <w:rPr>
          <w:rFonts w:ascii="Calibri" w:hAnsi="Calibri" w:cs="Calibri"/>
          <w:i/>
          <w:sz w:val="24"/>
          <w:szCs w:val="24"/>
        </w:rPr>
        <w:t>Analytic</w:t>
      </w:r>
      <w:proofErr w:type="spellEnd"/>
      <w:r w:rsidRPr="008D72A9">
        <w:rPr>
          <w:rFonts w:ascii="Calibri" w:hAnsi="Calibri" w:cs="Calibri"/>
          <w:i/>
          <w:sz w:val="24"/>
          <w:szCs w:val="24"/>
        </w:rPr>
        <w:t xml:space="preserve"> </w:t>
      </w:r>
      <w:proofErr w:type="spellStart"/>
      <w:r w:rsidRPr="008D72A9">
        <w:rPr>
          <w:rFonts w:ascii="Calibri" w:hAnsi="Calibri" w:cs="Calibri"/>
          <w:i/>
          <w:sz w:val="24"/>
          <w:szCs w:val="24"/>
        </w:rPr>
        <w:t>Hierarchy</w:t>
      </w:r>
      <w:proofErr w:type="spellEnd"/>
      <w:r w:rsidRPr="008D72A9">
        <w:rPr>
          <w:rFonts w:ascii="Calibri" w:hAnsi="Calibri" w:cs="Calibri"/>
          <w:i/>
          <w:sz w:val="24"/>
          <w:szCs w:val="24"/>
        </w:rPr>
        <w:t xml:space="preserve"> </w:t>
      </w:r>
      <w:proofErr w:type="spellStart"/>
      <w:r w:rsidRPr="008D72A9">
        <w:rPr>
          <w:rFonts w:ascii="Calibri" w:hAnsi="Calibri" w:cs="Calibri"/>
          <w:i/>
          <w:sz w:val="24"/>
          <w:szCs w:val="24"/>
        </w:rPr>
        <w:t>Process</w:t>
      </w:r>
      <w:proofErr w:type="spellEnd"/>
      <w:r w:rsidRPr="008D72A9">
        <w:rPr>
          <w:rFonts w:ascii="Calibri" w:hAnsi="Calibri" w:cs="Calibri"/>
          <w:i/>
          <w:sz w:val="24"/>
          <w:szCs w:val="24"/>
        </w:rPr>
        <w:t xml:space="preserve"> (AHP)</w:t>
      </w:r>
      <w:r w:rsidRPr="008D72A9">
        <w:rPr>
          <w:rFonts w:ascii="Calibri" w:hAnsi="Calibri" w:cs="Calibri"/>
          <w:sz w:val="24"/>
          <w:szCs w:val="24"/>
        </w:rPr>
        <w:t>.</w:t>
      </w:r>
    </w:p>
    <w:p w14:paraId="186EB55C" w14:textId="4B9D29F7" w:rsidR="00CB3172" w:rsidRPr="008D72A9" w:rsidRDefault="00CB3172" w:rsidP="00CB3172">
      <w:pPr>
        <w:spacing w:before="60" w:after="120" w:line="360" w:lineRule="auto"/>
        <w:jc w:val="center"/>
        <w:rPr>
          <w:rFonts w:ascii="Calibri" w:hAnsi="Calibri" w:cs="Calibri"/>
          <w:sz w:val="24"/>
          <w:szCs w:val="24"/>
        </w:rPr>
      </w:pPr>
      <w:r w:rsidRPr="00CA0591">
        <w:rPr>
          <w:rFonts w:cstheme="minorHAnsi"/>
          <w:sz w:val="24"/>
          <w:szCs w:val="24"/>
        </w:rPr>
        <w:t xml:space="preserve">Figura </w:t>
      </w:r>
      <w:r>
        <w:rPr>
          <w:rFonts w:cstheme="minorHAnsi"/>
          <w:sz w:val="24"/>
          <w:szCs w:val="24"/>
        </w:rPr>
        <w:t>2</w:t>
      </w:r>
      <w:r w:rsidRPr="00CA0591">
        <w:rPr>
          <w:rFonts w:cstheme="minorHAnsi"/>
          <w:sz w:val="24"/>
          <w:szCs w:val="24"/>
        </w:rPr>
        <w:t xml:space="preserve"> – </w:t>
      </w:r>
      <w:r>
        <w:rPr>
          <w:rFonts w:cstheme="minorHAnsi"/>
          <w:sz w:val="24"/>
          <w:szCs w:val="24"/>
        </w:rPr>
        <w:t>Classificação Final</w:t>
      </w:r>
    </w:p>
    <w:p w14:paraId="33C67E76" w14:textId="77777777" w:rsidR="00FD7D45" w:rsidRDefault="00FD7D45" w:rsidP="00FD7D45">
      <w:pPr>
        <w:spacing w:before="60" w:after="120" w:line="360" w:lineRule="auto"/>
        <w:jc w:val="both"/>
        <w:rPr>
          <w:noProof/>
          <w:sz w:val="24"/>
          <w:szCs w:val="24"/>
          <w:lang w:eastAsia="pt-BR"/>
        </w:rPr>
      </w:pPr>
      <w:r w:rsidRPr="007B72F1">
        <w:rPr>
          <w:noProof/>
          <w:sz w:val="24"/>
          <w:szCs w:val="24"/>
          <w:lang w:eastAsia="pt-BR"/>
        </w:rPr>
        <w:drawing>
          <wp:inline distT="0" distB="0" distL="0" distR="0" wp14:anchorId="416B20F0" wp14:editId="45DB68A2">
            <wp:extent cx="5760720" cy="1854835"/>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720" cy="1854835"/>
                    </a:xfrm>
                    <a:prstGeom prst="rect">
                      <a:avLst/>
                    </a:prstGeom>
                    <a:noFill/>
                    <a:ln>
                      <a:noFill/>
                    </a:ln>
                  </pic:spPr>
                </pic:pic>
              </a:graphicData>
            </a:graphic>
          </wp:inline>
        </w:drawing>
      </w:r>
    </w:p>
    <w:p w14:paraId="2ECD4FC5" w14:textId="14632981" w:rsidR="00FD7D45" w:rsidRDefault="00FD7D45" w:rsidP="00FD7D45">
      <w:pPr>
        <w:spacing w:before="60" w:after="120" w:line="360" w:lineRule="auto"/>
        <w:ind w:firstLine="720"/>
        <w:jc w:val="both"/>
        <w:rPr>
          <w:rFonts w:ascii="Calibri" w:hAnsi="Calibri" w:cs="Calibri"/>
          <w:sz w:val="24"/>
          <w:szCs w:val="24"/>
        </w:rPr>
      </w:pPr>
      <w:r w:rsidRPr="008D72A9">
        <w:rPr>
          <w:rFonts w:ascii="Calibri" w:hAnsi="Calibri" w:cs="Calibri"/>
          <w:sz w:val="24"/>
          <w:szCs w:val="24"/>
        </w:rPr>
        <w:t xml:space="preserve">As faixas de classificação final (Quanti x </w:t>
      </w:r>
      <w:proofErr w:type="spellStart"/>
      <w:r w:rsidRPr="008D72A9">
        <w:rPr>
          <w:rFonts w:ascii="Calibri" w:hAnsi="Calibri" w:cs="Calibri"/>
          <w:sz w:val="24"/>
          <w:szCs w:val="24"/>
        </w:rPr>
        <w:t>Quali</w:t>
      </w:r>
      <w:proofErr w:type="spellEnd"/>
      <w:r w:rsidRPr="008D72A9">
        <w:rPr>
          <w:rFonts w:ascii="Calibri" w:hAnsi="Calibri" w:cs="Calibri"/>
          <w:sz w:val="24"/>
          <w:szCs w:val="24"/>
        </w:rPr>
        <w:t>) levaram em consideração as seguintes premissas:</w:t>
      </w:r>
    </w:p>
    <w:p w14:paraId="3B3BFE80" w14:textId="4A5351F9" w:rsidR="00CB3172" w:rsidRPr="008D72A9" w:rsidRDefault="00CB3172" w:rsidP="00CB3172">
      <w:pPr>
        <w:spacing w:before="60" w:after="120" w:line="360" w:lineRule="auto"/>
        <w:jc w:val="center"/>
        <w:rPr>
          <w:rFonts w:ascii="Calibri" w:hAnsi="Calibri" w:cs="Calibri"/>
          <w:sz w:val="24"/>
          <w:szCs w:val="24"/>
        </w:rPr>
      </w:pPr>
      <w:r w:rsidRPr="00CA0591">
        <w:rPr>
          <w:rFonts w:cstheme="minorHAnsi"/>
          <w:sz w:val="24"/>
          <w:szCs w:val="24"/>
        </w:rPr>
        <w:t xml:space="preserve">Figura </w:t>
      </w:r>
      <w:r w:rsidR="007B7EC2">
        <w:rPr>
          <w:rFonts w:cstheme="minorHAnsi"/>
          <w:sz w:val="24"/>
          <w:szCs w:val="24"/>
        </w:rPr>
        <w:t>3</w:t>
      </w:r>
      <w:r w:rsidRPr="00CA0591">
        <w:rPr>
          <w:rFonts w:cstheme="minorHAnsi"/>
          <w:sz w:val="24"/>
          <w:szCs w:val="24"/>
        </w:rPr>
        <w:t xml:space="preserve"> – </w:t>
      </w:r>
      <w:r>
        <w:rPr>
          <w:rFonts w:cstheme="minorHAnsi"/>
          <w:sz w:val="24"/>
          <w:szCs w:val="24"/>
        </w:rPr>
        <w:t xml:space="preserve">Faixas de Classificação </w:t>
      </w:r>
      <w:r>
        <w:rPr>
          <w:rFonts w:cstheme="minorHAnsi"/>
          <w:sz w:val="24"/>
          <w:szCs w:val="24"/>
        </w:rPr>
        <w:t>Final</w:t>
      </w:r>
      <w:r>
        <w:rPr>
          <w:rFonts w:cstheme="minorHAnsi"/>
          <w:sz w:val="24"/>
          <w:szCs w:val="24"/>
        </w:rPr>
        <w:t xml:space="preserve"> (Q</w:t>
      </w:r>
      <w:r w:rsidR="000260AB">
        <w:rPr>
          <w:rFonts w:cstheme="minorHAnsi"/>
          <w:sz w:val="24"/>
          <w:szCs w:val="24"/>
        </w:rPr>
        <w:t xml:space="preserve">uanti x </w:t>
      </w:r>
      <w:proofErr w:type="spellStart"/>
      <w:r w:rsidR="000260AB">
        <w:rPr>
          <w:rFonts w:cstheme="minorHAnsi"/>
          <w:sz w:val="24"/>
          <w:szCs w:val="24"/>
        </w:rPr>
        <w:t>Quali</w:t>
      </w:r>
      <w:proofErr w:type="spellEnd"/>
      <w:r w:rsidR="000260AB">
        <w:rPr>
          <w:rFonts w:cstheme="minorHAnsi"/>
          <w:sz w:val="24"/>
          <w:szCs w:val="24"/>
        </w:rPr>
        <w:t>)</w:t>
      </w:r>
    </w:p>
    <w:p w14:paraId="1579F88F" w14:textId="77777777" w:rsidR="00FD7D45" w:rsidRDefault="00FD7D45" w:rsidP="00FD7D45">
      <w:pPr>
        <w:spacing w:before="60" w:after="120" w:line="360" w:lineRule="auto"/>
        <w:jc w:val="both"/>
        <w:rPr>
          <w:noProof/>
        </w:rPr>
      </w:pPr>
      <w:r w:rsidRPr="002C4FA8">
        <w:rPr>
          <w:noProof/>
        </w:rPr>
        <w:drawing>
          <wp:inline distT="0" distB="0" distL="0" distR="0" wp14:anchorId="0D49F9B4" wp14:editId="69FD229D">
            <wp:extent cx="5760720" cy="898525"/>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898525"/>
                    </a:xfrm>
                    <a:prstGeom prst="rect">
                      <a:avLst/>
                    </a:prstGeom>
                    <a:noFill/>
                    <a:ln>
                      <a:noFill/>
                    </a:ln>
                  </pic:spPr>
                </pic:pic>
              </a:graphicData>
            </a:graphic>
          </wp:inline>
        </w:drawing>
      </w:r>
    </w:p>
    <w:p w14:paraId="78F71440" w14:textId="77777777" w:rsidR="00FD7D45" w:rsidRPr="007B7EC2" w:rsidRDefault="00FD7D45" w:rsidP="00586858">
      <w:pPr>
        <w:pStyle w:val="Ttulo1"/>
        <w:widowControl/>
        <w:numPr>
          <w:ilvl w:val="0"/>
          <w:numId w:val="2"/>
        </w:numPr>
        <w:autoSpaceDE/>
        <w:autoSpaceDN/>
        <w:spacing w:before="120" w:after="120" w:line="360" w:lineRule="auto"/>
        <w:ind w:left="357" w:hanging="357"/>
        <w:rPr>
          <w:rFonts w:asciiTheme="minorHAnsi" w:hAnsiTheme="minorHAnsi" w:cstheme="minorHAnsi"/>
          <w:sz w:val="24"/>
          <w:szCs w:val="24"/>
        </w:rPr>
      </w:pPr>
      <w:bookmarkStart w:id="64" w:name="_Toc470192407"/>
      <w:bookmarkStart w:id="65" w:name="_Toc471466694"/>
      <w:bookmarkStart w:id="66" w:name="_Toc68090953"/>
      <w:bookmarkStart w:id="67" w:name="_Toc68936896"/>
      <w:bookmarkStart w:id="68" w:name="_Toc68937082"/>
      <w:bookmarkStart w:id="69" w:name="_Toc74391116"/>
      <w:bookmarkStart w:id="70" w:name="_Toc74468876"/>
      <w:r w:rsidRPr="007B7EC2">
        <w:rPr>
          <w:rFonts w:asciiTheme="minorHAnsi" w:hAnsiTheme="minorHAnsi" w:cstheme="minorHAnsi"/>
          <w:sz w:val="24"/>
          <w:szCs w:val="24"/>
        </w:rPr>
        <w:t>Processos Priorizados x Prazos</w:t>
      </w:r>
      <w:bookmarkEnd w:id="64"/>
      <w:bookmarkEnd w:id="65"/>
      <w:bookmarkEnd w:id="66"/>
      <w:bookmarkEnd w:id="67"/>
      <w:bookmarkEnd w:id="68"/>
      <w:bookmarkEnd w:id="69"/>
      <w:bookmarkEnd w:id="70"/>
      <w:r w:rsidRPr="007B7EC2">
        <w:rPr>
          <w:rFonts w:asciiTheme="minorHAnsi" w:hAnsiTheme="minorHAnsi" w:cstheme="minorHAnsi"/>
          <w:sz w:val="24"/>
          <w:szCs w:val="24"/>
        </w:rPr>
        <w:t xml:space="preserve"> </w:t>
      </w:r>
    </w:p>
    <w:p w14:paraId="39D0C1AE" w14:textId="3A358242" w:rsidR="00FD7D45" w:rsidRDefault="00FD7D45" w:rsidP="00FD7D45">
      <w:pPr>
        <w:spacing w:before="60" w:after="120" w:line="360" w:lineRule="auto"/>
        <w:ind w:firstLine="720"/>
        <w:jc w:val="both"/>
        <w:rPr>
          <w:rFonts w:ascii="Calibri" w:hAnsi="Calibri" w:cs="Calibri"/>
          <w:sz w:val="24"/>
          <w:szCs w:val="24"/>
        </w:rPr>
      </w:pPr>
      <w:r w:rsidRPr="008D72A9">
        <w:rPr>
          <w:rFonts w:ascii="Calibri" w:hAnsi="Calibri" w:cs="Calibri"/>
          <w:sz w:val="24"/>
          <w:szCs w:val="24"/>
        </w:rPr>
        <w:t xml:space="preserve">Em virtude da capacidade operacional das Unidades e complexidades dos processos, </w:t>
      </w:r>
      <w:r w:rsidRPr="008D72A9">
        <w:rPr>
          <w:rFonts w:ascii="Calibri" w:hAnsi="Calibri" w:cs="Calibri"/>
          <w:color w:val="FF0000"/>
          <w:sz w:val="24"/>
          <w:szCs w:val="24"/>
        </w:rPr>
        <w:t xml:space="preserve">definiu-se </w:t>
      </w:r>
      <w:r w:rsidRPr="008D72A9">
        <w:rPr>
          <w:rFonts w:ascii="Calibri" w:hAnsi="Calibri" w:cs="Calibri"/>
          <w:sz w:val="24"/>
          <w:szCs w:val="24"/>
        </w:rPr>
        <w:t>os seguintes prazos para o mapeamento de riscos:</w:t>
      </w:r>
    </w:p>
    <w:p w14:paraId="0506E3C6" w14:textId="32B3306F" w:rsidR="007B7EC2" w:rsidRPr="008D72A9" w:rsidRDefault="007B7EC2" w:rsidP="007B7EC2">
      <w:pPr>
        <w:spacing w:before="60" w:after="120" w:line="360" w:lineRule="auto"/>
        <w:jc w:val="center"/>
        <w:rPr>
          <w:rFonts w:ascii="Calibri" w:hAnsi="Calibri" w:cs="Calibri"/>
          <w:sz w:val="24"/>
          <w:szCs w:val="24"/>
        </w:rPr>
      </w:pPr>
      <w:r w:rsidRPr="00CA0591">
        <w:rPr>
          <w:rFonts w:cstheme="minorHAnsi"/>
          <w:sz w:val="24"/>
          <w:szCs w:val="24"/>
        </w:rPr>
        <w:t xml:space="preserve">Figura </w:t>
      </w:r>
      <w:r>
        <w:rPr>
          <w:rFonts w:cstheme="minorHAnsi"/>
          <w:sz w:val="24"/>
          <w:szCs w:val="24"/>
        </w:rPr>
        <w:t>4</w:t>
      </w:r>
      <w:r w:rsidRPr="00CA0591">
        <w:rPr>
          <w:rFonts w:cstheme="minorHAnsi"/>
          <w:sz w:val="24"/>
          <w:szCs w:val="24"/>
        </w:rPr>
        <w:t xml:space="preserve"> – </w:t>
      </w:r>
      <w:r>
        <w:rPr>
          <w:rFonts w:cstheme="minorHAnsi"/>
          <w:sz w:val="24"/>
          <w:szCs w:val="24"/>
        </w:rPr>
        <w:t>Classificação x Prazos</w:t>
      </w:r>
    </w:p>
    <w:p w14:paraId="31D2F4D2" w14:textId="77777777" w:rsidR="007B7EC2" w:rsidRPr="008D72A9" w:rsidRDefault="007B7EC2" w:rsidP="007B7EC2">
      <w:pPr>
        <w:spacing w:before="60" w:after="120" w:line="360" w:lineRule="auto"/>
        <w:jc w:val="both"/>
        <w:rPr>
          <w:rFonts w:ascii="Calibri" w:hAnsi="Calibri" w:cs="Calibri"/>
          <w:sz w:val="24"/>
          <w:szCs w:val="24"/>
        </w:rPr>
      </w:pPr>
    </w:p>
    <w:p w14:paraId="18A3064E" w14:textId="77777777" w:rsidR="00FD7D45" w:rsidRPr="006833BB" w:rsidRDefault="00FD7D45" w:rsidP="00FD7D45">
      <w:pPr>
        <w:spacing w:before="60" w:after="120" w:line="360" w:lineRule="auto"/>
        <w:ind w:firstLine="720"/>
        <w:jc w:val="both"/>
        <w:rPr>
          <w:sz w:val="24"/>
          <w:szCs w:val="24"/>
        </w:rPr>
      </w:pPr>
      <w:r>
        <w:rPr>
          <w:noProof/>
          <w:sz w:val="24"/>
          <w:szCs w:val="24"/>
        </w:rPr>
        <mc:AlternateContent>
          <mc:Choice Requires="wps">
            <w:drawing>
              <wp:anchor distT="0" distB="0" distL="114300" distR="114300" simplePos="0" relativeHeight="251692032" behindDoc="0" locked="0" layoutInCell="1" allowOverlap="1" wp14:anchorId="2F25D207" wp14:editId="58F72D15">
                <wp:simplePos x="0" y="0"/>
                <wp:positionH relativeFrom="column">
                  <wp:posOffset>831215</wp:posOffset>
                </wp:positionH>
                <wp:positionV relativeFrom="paragraph">
                  <wp:posOffset>1111885</wp:posOffset>
                </wp:positionV>
                <wp:extent cx="1003300" cy="692150"/>
                <wp:effectExtent l="342900" t="57150" r="44450" b="317500"/>
                <wp:wrapNone/>
                <wp:docPr id="84" name="Caixa de Texto 84"/>
                <wp:cNvGraphicFramePr/>
                <a:graphic xmlns:a="http://schemas.openxmlformats.org/drawingml/2006/main">
                  <a:graphicData uri="http://schemas.microsoft.com/office/word/2010/wordprocessingShape">
                    <wps:wsp>
                      <wps:cNvSpPr txBox="1"/>
                      <wps:spPr>
                        <a:xfrm>
                          <a:off x="0" y="0"/>
                          <a:ext cx="1003300" cy="692150"/>
                        </a:xfrm>
                        <a:prstGeom prst="rect">
                          <a:avLst/>
                        </a:prstGeom>
                        <a:solidFill>
                          <a:srgbClr val="FF0000"/>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3"/>
                        </a:lnRef>
                        <a:fillRef idx="1">
                          <a:schemeClr val="lt1"/>
                        </a:fillRef>
                        <a:effectRef idx="0">
                          <a:schemeClr val="accent3"/>
                        </a:effectRef>
                        <a:fontRef idx="minor">
                          <a:schemeClr val="dk1"/>
                        </a:fontRef>
                      </wps:style>
                      <wps:txbx>
                        <w:txbxContent>
                          <w:p w14:paraId="2437B4A9" w14:textId="77777777" w:rsidR="00FD7D45" w:rsidRDefault="00FD7D45" w:rsidP="00FD7D45">
                            <w:pPr>
                              <w:jc w:val="center"/>
                            </w:pPr>
                          </w:p>
                          <w:p w14:paraId="081A80FA" w14:textId="77777777" w:rsidR="00FD7D45" w:rsidRPr="00736FC8" w:rsidRDefault="00FD7D45" w:rsidP="00FD7D45">
                            <w:pPr>
                              <w:jc w:val="center"/>
                              <w:rPr>
                                <w:b/>
                                <w:bCs/>
                                <w:color w:val="FFFFFF" w:themeColor="background1"/>
                                <w:sz w:val="24"/>
                                <w:szCs w:val="24"/>
                              </w:rPr>
                            </w:pPr>
                            <w:r w:rsidRPr="00736FC8">
                              <w:rPr>
                                <w:b/>
                                <w:bCs/>
                                <w:color w:val="FFFFFF" w:themeColor="background1"/>
                                <w:sz w:val="24"/>
                                <w:szCs w:val="24"/>
                              </w:rPr>
                              <w:t>Até 2 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5D207" id="Caixa de Texto 84" o:spid="_x0000_s1030" type="#_x0000_t202" style="position:absolute;left:0;text-align:left;margin-left:65.45pt;margin-top:87.55pt;width:79pt;height:5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" fillcolor="red" stroked="f" strokeweight="1pt">
                <v:shadow on="t" color="black" opacity="18350f" offset="-5.40094mm,4.37361mm"/>
                <v:textbox>
                  <w:txbxContent>
                    <w:p w14:paraId="2437B4A9" w14:textId="77777777" w:rsidR="00FD7D45" w:rsidRDefault="00FD7D45" w:rsidP="00FD7D45">
                      <w:pPr>
                        <w:jc w:val="center"/>
                      </w:pPr>
                    </w:p>
                    <w:p w14:paraId="081A80FA" w14:textId="77777777" w:rsidR="00FD7D45" w:rsidRPr="00736FC8" w:rsidRDefault="00FD7D45" w:rsidP="00FD7D45">
                      <w:pPr>
                        <w:jc w:val="center"/>
                        <w:rPr>
                          <w:b/>
                          <w:bCs/>
                          <w:color w:val="FFFFFF" w:themeColor="background1"/>
                          <w:sz w:val="24"/>
                          <w:szCs w:val="24"/>
                        </w:rPr>
                      </w:pPr>
                      <w:r w:rsidRPr="00736FC8">
                        <w:rPr>
                          <w:b/>
                          <w:bCs/>
                          <w:color w:val="FFFFFF" w:themeColor="background1"/>
                          <w:sz w:val="24"/>
                          <w:szCs w:val="24"/>
                        </w:rPr>
                        <w:t>Até 2 anos</w:t>
                      </w:r>
                    </w:p>
                  </w:txbxContent>
                </v:textbox>
              </v:shape>
            </w:pict>
          </mc:Fallback>
        </mc:AlternateContent>
      </w:r>
      <w:r>
        <w:rPr>
          <w:noProof/>
          <w:sz w:val="24"/>
          <w:szCs w:val="24"/>
        </w:rPr>
        <mc:AlternateContent>
          <mc:Choice Requires="wps">
            <w:drawing>
              <wp:anchor distT="0" distB="0" distL="114300" distR="114300" simplePos="0" relativeHeight="251693056" behindDoc="0" locked="0" layoutInCell="1" allowOverlap="1" wp14:anchorId="1D8976F7" wp14:editId="3DA5B0A1">
                <wp:simplePos x="0" y="0"/>
                <wp:positionH relativeFrom="page">
                  <wp:align>center</wp:align>
                </wp:positionH>
                <wp:positionV relativeFrom="paragraph">
                  <wp:posOffset>1111885</wp:posOffset>
                </wp:positionV>
                <wp:extent cx="1003300" cy="704850"/>
                <wp:effectExtent l="342900" t="57150" r="63500" b="342900"/>
                <wp:wrapNone/>
                <wp:docPr id="85" name="Caixa de Texto 85"/>
                <wp:cNvGraphicFramePr/>
                <a:graphic xmlns:a="http://schemas.openxmlformats.org/drawingml/2006/main">
                  <a:graphicData uri="http://schemas.microsoft.com/office/word/2010/wordprocessingShape">
                    <wps:wsp>
                      <wps:cNvSpPr txBox="1"/>
                      <wps:spPr>
                        <a:xfrm>
                          <a:off x="0" y="0"/>
                          <a:ext cx="1003300" cy="704850"/>
                        </a:xfrm>
                        <a:prstGeom prst="rect">
                          <a:avLst/>
                        </a:prstGeom>
                        <a:solidFill>
                          <a:srgbClr val="FFFF00"/>
                        </a:solidFill>
                        <a:ln>
                          <a:solidFill>
                            <a:srgbClr val="FFFF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3"/>
                        </a:lnRef>
                        <a:fillRef idx="1">
                          <a:schemeClr val="lt1"/>
                        </a:fillRef>
                        <a:effectRef idx="0">
                          <a:schemeClr val="accent3"/>
                        </a:effectRef>
                        <a:fontRef idx="minor">
                          <a:schemeClr val="dk1"/>
                        </a:fontRef>
                      </wps:style>
                      <wps:txbx>
                        <w:txbxContent>
                          <w:p w14:paraId="7BD2B887" w14:textId="77777777" w:rsidR="00FD7D45" w:rsidRDefault="00FD7D45" w:rsidP="00FD7D45">
                            <w:pPr>
                              <w:jc w:val="center"/>
                            </w:pPr>
                          </w:p>
                          <w:p w14:paraId="5DFE1EB5" w14:textId="77777777" w:rsidR="00FD7D45" w:rsidRPr="00736FC8" w:rsidRDefault="00FD7D45" w:rsidP="00FD7D45">
                            <w:pPr>
                              <w:jc w:val="center"/>
                              <w:rPr>
                                <w:b/>
                                <w:bCs/>
                                <w:sz w:val="24"/>
                                <w:szCs w:val="24"/>
                              </w:rPr>
                            </w:pPr>
                            <w:r w:rsidRPr="00736FC8">
                              <w:rPr>
                                <w:b/>
                                <w:bCs/>
                                <w:sz w:val="24"/>
                                <w:szCs w:val="24"/>
                              </w:rPr>
                              <w:t>Até 3 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976F7" id="Caixa de Texto 85" o:spid="_x0000_s1031" type="#_x0000_t202" style="position:absolute;left:0;text-align:left;margin-left:0;margin-top:87.55pt;width:79pt;height:55.5pt;z-index:251693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" fillcolor="yellow" strokecolor="yellow" strokeweight="1pt">
                <v:shadow on="t" color="black" opacity="18350f" offset="-5.40094mm,4.37361mm"/>
                <v:textbox>
                  <w:txbxContent>
                    <w:p w14:paraId="7BD2B887" w14:textId="77777777" w:rsidR="00FD7D45" w:rsidRDefault="00FD7D45" w:rsidP="00FD7D45">
                      <w:pPr>
                        <w:jc w:val="center"/>
                      </w:pPr>
                    </w:p>
                    <w:p w14:paraId="5DFE1EB5" w14:textId="77777777" w:rsidR="00FD7D45" w:rsidRPr="00736FC8" w:rsidRDefault="00FD7D45" w:rsidP="00FD7D45">
                      <w:pPr>
                        <w:jc w:val="center"/>
                        <w:rPr>
                          <w:b/>
                          <w:bCs/>
                          <w:sz w:val="24"/>
                          <w:szCs w:val="24"/>
                        </w:rPr>
                      </w:pPr>
                      <w:r w:rsidRPr="00736FC8">
                        <w:rPr>
                          <w:b/>
                          <w:bCs/>
                          <w:sz w:val="24"/>
                          <w:szCs w:val="24"/>
                        </w:rPr>
                        <w:t>Até 3 anos</w:t>
                      </w:r>
                    </w:p>
                  </w:txbxContent>
                </v:textbox>
                <w10:wrap anchorx="page"/>
              </v:shape>
            </w:pict>
          </mc:Fallback>
        </mc:AlternateContent>
      </w:r>
      <w:r>
        <w:rPr>
          <w:noProof/>
          <w:sz w:val="24"/>
          <w:szCs w:val="24"/>
        </w:rPr>
        <mc:AlternateContent>
          <mc:Choice Requires="wps">
            <w:drawing>
              <wp:anchor distT="0" distB="0" distL="114300" distR="114300" simplePos="0" relativeHeight="251694080" behindDoc="0" locked="0" layoutInCell="1" allowOverlap="1" wp14:anchorId="1875F498" wp14:editId="00353879">
                <wp:simplePos x="0" y="0"/>
                <wp:positionH relativeFrom="column">
                  <wp:posOffset>4050665</wp:posOffset>
                </wp:positionH>
                <wp:positionV relativeFrom="paragraph">
                  <wp:posOffset>1105535</wp:posOffset>
                </wp:positionV>
                <wp:extent cx="1003300" cy="692150"/>
                <wp:effectExtent l="342900" t="57150" r="63500" b="336550"/>
                <wp:wrapNone/>
                <wp:docPr id="86" name="Caixa de Texto 86"/>
                <wp:cNvGraphicFramePr/>
                <a:graphic xmlns:a="http://schemas.openxmlformats.org/drawingml/2006/main">
                  <a:graphicData uri="http://schemas.microsoft.com/office/word/2010/wordprocessingShape">
                    <wps:wsp>
                      <wps:cNvSpPr txBox="1"/>
                      <wps:spPr>
                        <a:xfrm>
                          <a:off x="0" y="0"/>
                          <a:ext cx="1003300" cy="692150"/>
                        </a:xfrm>
                        <a:prstGeom prst="rect">
                          <a:avLst/>
                        </a:prstGeom>
                        <a:solidFill>
                          <a:srgbClr val="00B050"/>
                        </a:solidFill>
                        <a:ln>
                          <a:solidFill>
                            <a:srgbClr val="00B05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3"/>
                        </a:lnRef>
                        <a:fillRef idx="1">
                          <a:schemeClr val="lt1"/>
                        </a:fillRef>
                        <a:effectRef idx="0">
                          <a:schemeClr val="accent3"/>
                        </a:effectRef>
                        <a:fontRef idx="minor">
                          <a:schemeClr val="dk1"/>
                        </a:fontRef>
                      </wps:style>
                      <wps:txbx>
                        <w:txbxContent>
                          <w:p w14:paraId="78ECF5C5" w14:textId="77777777" w:rsidR="00FD7D45" w:rsidRDefault="00FD7D45" w:rsidP="00FD7D45">
                            <w:pPr>
                              <w:jc w:val="center"/>
                            </w:pPr>
                          </w:p>
                          <w:p w14:paraId="359D759C" w14:textId="77777777" w:rsidR="00FD7D45" w:rsidRPr="00736FC8" w:rsidRDefault="00FD7D45" w:rsidP="00FD7D45">
                            <w:pPr>
                              <w:jc w:val="center"/>
                              <w:rPr>
                                <w:b/>
                                <w:bCs/>
                                <w:color w:val="FFFFFF" w:themeColor="background1"/>
                                <w:sz w:val="24"/>
                                <w:szCs w:val="24"/>
                              </w:rPr>
                            </w:pPr>
                            <w:r w:rsidRPr="00736FC8">
                              <w:rPr>
                                <w:b/>
                                <w:bCs/>
                                <w:color w:val="FFFFFF" w:themeColor="background1"/>
                                <w:sz w:val="24"/>
                                <w:szCs w:val="24"/>
                              </w:rPr>
                              <w:t>Até 5 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5F498" id="Caixa de Texto 86" o:spid="_x0000_s1032" type="#_x0000_t202" style="position:absolute;left:0;text-align:left;margin-left:318.95pt;margin-top:87.05pt;width:79pt;height:5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" fillcolor="#00b050" strokecolor="#00b050" strokeweight="1pt">
                <v:shadow on="t" color="black" opacity="18350f" offset="-5.40094mm,4.37361mm"/>
                <v:textbox>
                  <w:txbxContent>
                    <w:p w14:paraId="78ECF5C5" w14:textId="77777777" w:rsidR="00FD7D45" w:rsidRDefault="00FD7D45" w:rsidP="00FD7D45">
                      <w:pPr>
                        <w:jc w:val="center"/>
                      </w:pPr>
                    </w:p>
                    <w:p w14:paraId="359D759C" w14:textId="77777777" w:rsidR="00FD7D45" w:rsidRPr="00736FC8" w:rsidRDefault="00FD7D45" w:rsidP="00FD7D45">
                      <w:pPr>
                        <w:jc w:val="center"/>
                        <w:rPr>
                          <w:b/>
                          <w:bCs/>
                          <w:color w:val="FFFFFF" w:themeColor="background1"/>
                          <w:sz w:val="24"/>
                          <w:szCs w:val="24"/>
                        </w:rPr>
                      </w:pPr>
                      <w:r w:rsidRPr="00736FC8">
                        <w:rPr>
                          <w:b/>
                          <w:bCs/>
                          <w:color w:val="FFFFFF" w:themeColor="background1"/>
                          <w:sz w:val="24"/>
                          <w:szCs w:val="24"/>
                        </w:rPr>
                        <w:t>Até 5 anos</w:t>
                      </w:r>
                    </w:p>
                  </w:txbxContent>
                </v:textbox>
              </v:shape>
            </w:pict>
          </mc:Fallback>
        </mc:AlternateContent>
      </w:r>
      <w:r>
        <w:rPr>
          <w:noProof/>
          <w:sz w:val="24"/>
          <w:szCs w:val="24"/>
        </w:rPr>
        <w:drawing>
          <wp:inline distT="0" distB="0" distL="0" distR="0" wp14:anchorId="14C437DA" wp14:editId="469F5B05">
            <wp:extent cx="4749800" cy="1524000"/>
            <wp:effectExtent l="0" t="19050" r="12700" b="38100"/>
            <wp:docPr id="91" name="Diagrama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4135ACDC" w14:textId="0CB19328" w:rsidR="00FD7D45" w:rsidRDefault="00FD7D45" w:rsidP="00FD7D45">
      <w:pPr>
        <w:ind w:firstLine="709"/>
        <w:jc w:val="center"/>
      </w:pPr>
    </w:p>
    <w:p w14:paraId="13671BB5" w14:textId="77777777" w:rsidR="00BD30B0" w:rsidRDefault="00BD30B0" w:rsidP="00FD7D45">
      <w:pPr>
        <w:ind w:firstLine="709"/>
        <w:jc w:val="center"/>
      </w:pPr>
    </w:p>
    <w:p w14:paraId="7105EBB7" w14:textId="77777777" w:rsidR="00FD7D45" w:rsidRPr="007B7EC2" w:rsidRDefault="00FD7D45" w:rsidP="00586858">
      <w:pPr>
        <w:pStyle w:val="Ttulo1"/>
        <w:widowControl/>
        <w:numPr>
          <w:ilvl w:val="0"/>
          <w:numId w:val="2"/>
        </w:numPr>
        <w:autoSpaceDE/>
        <w:autoSpaceDN/>
        <w:spacing w:before="120" w:after="120" w:line="360" w:lineRule="auto"/>
        <w:ind w:left="357" w:hanging="357"/>
        <w:rPr>
          <w:rFonts w:asciiTheme="minorHAnsi" w:hAnsiTheme="minorHAnsi" w:cstheme="minorHAnsi"/>
          <w:sz w:val="24"/>
          <w:szCs w:val="24"/>
        </w:rPr>
      </w:pPr>
      <w:bookmarkStart w:id="71" w:name="_Toc68936897"/>
      <w:bookmarkStart w:id="72" w:name="_Toc68937083"/>
      <w:bookmarkStart w:id="73" w:name="_Toc74391117"/>
      <w:bookmarkStart w:id="74" w:name="_Toc74468877"/>
      <w:r w:rsidRPr="007B7EC2">
        <w:rPr>
          <w:rFonts w:asciiTheme="minorHAnsi" w:hAnsiTheme="minorHAnsi" w:cstheme="minorHAnsi"/>
          <w:sz w:val="24"/>
          <w:szCs w:val="24"/>
        </w:rPr>
        <w:t>Aplicação do Método de Priorização de Processos</w:t>
      </w:r>
      <w:bookmarkEnd w:id="71"/>
      <w:bookmarkEnd w:id="72"/>
      <w:bookmarkEnd w:id="73"/>
      <w:bookmarkEnd w:id="74"/>
    </w:p>
    <w:p w14:paraId="0B30ADDD" w14:textId="6E1B9003" w:rsidR="00FD7D45" w:rsidRDefault="00FD7D45" w:rsidP="00FD7D45">
      <w:pPr>
        <w:spacing w:before="60" w:after="120" w:line="360" w:lineRule="auto"/>
        <w:ind w:firstLine="720"/>
        <w:jc w:val="both"/>
        <w:rPr>
          <w:rFonts w:ascii="Calibri" w:hAnsi="Calibri" w:cs="Calibri"/>
          <w:color w:val="FF0000"/>
          <w:sz w:val="24"/>
          <w:szCs w:val="24"/>
        </w:rPr>
      </w:pPr>
      <w:r w:rsidRPr="008D72A9">
        <w:rPr>
          <w:rFonts w:ascii="Calibri" w:hAnsi="Calibri" w:cs="Calibri"/>
          <w:sz w:val="24"/>
          <w:szCs w:val="24"/>
        </w:rPr>
        <w:t xml:space="preserve">Para aplicação do MPP cada Unidade deverá identificar os processos sob sua responsabilidade, vinculados aos Objetivos Estratégicos do MS, utilizando-se a planilha com os processos e os objetivos estratégicos do Plano Nacional de Saúde (PNS) / Plano Plurianual (PPA) 2020-2023, </w:t>
      </w:r>
      <w:r w:rsidRPr="008D72A9">
        <w:rPr>
          <w:rFonts w:ascii="Calibri" w:hAnsi="Calibri" w:cs="Calibri"/>
          <w:color w:val="FF0000"/>
          <w:sz w:val="24"/>
          <w:szCs w:val="24"/>
        </w:rPr>
        <w:t xml:space="preserve">disponibilizada pela </w:t>
      </w:r>
      <w:proofErr w:type="spellStart"/>
      <w:r w:rsidRPr="008D72A9">
        <w:rPr>
          <w:rFonts w:ascii="Calibri" w:hAnsi="Calibri" w:cs="Calibri"/>
          <w:color w:val="FF0000"/>
          <w:sz w:val="24"/>
          <w:szCs w:val="24"/>
        </w:rPr>
        <w:t>xxxxx</w:t>
      </w:r>
      <w:proofErr w:type="spellEnd"/>
      <w:r w:rsidRPr="008D72A9">
        <w:rPr>
          <w:rFonts w:ascii="Calibri" w:hAnsi="Calibri" w:cs="Calibri"/>
          <w:color w:val="FF0000"/>
          <w:sz w:val="24"/>
          <w:szCs w:val="24"/>
        </w:rPr>
        <w:t>.</w:t>
      </w:r>
    </w:p>
    <w:p w14:paraId="3270B07C" w14:textId="79E65F58" w:rsidR="00BD30B0" w:rsidRPr="008D72A9" w:rsidRDefault="00A4003A" w:rsidP="00A4003A">
      <w:pPr>
        <w:spacing w:before="60" w:after="120" w:line="360" w:lineRule="auto"/>
        <w:jc w:val="center"/>
        <w:rPr>
          <w:rFonts w:ascii="Calibri" w:hAnsi="Calibri" w:cs="Calibri"/>
          <w:color w:val="FF0000"/>
          <w:sz w:val="24"/>
          <w:szCs w:val="24"/>
        </w:rPr>
      </w:pPr>
      <w:r w:rsidRPr="00CA0591">
        <w:rPr>
          <w:rFonts w:cstheme="minorHAnsi"/>
          <w:sz w:val="24"/>
          <w:szCs w:val="24"/>
        </w:rPr>
        <w:t xml:space="preserve">Figura </w:t>
      </w:r>
      <w:r>
        <w:rPr>
          <w:rFonts w:cstheme="minorHAnsi"/>
          <w:sz w:val="24"/>
          <w:szCs w:val="24"/>
        </w:rPr>
        <w:t>5</w:t>
      </w:r>
      <w:r w:rsidRPr="00CA0591">
        <w:rPr>
          <w:rFonts w:cstheme="minorHAnsi"/>
          <w:sz w:val="24"/>
          <w:szCs w:val="24"/>
        </w:rPr>
        <w:t xml:space="preserve"> – </w:t>
      </w:r>
      <w:r>
        <w:rPr>
          <w:rFonts w:cstheme="minorHAnsi"/>
          <w:sz w:val="24"/>
          <w:szCs w:val="24"/>
        </w:rPr>
        <w:t>Objetivo PPA/PNS 2020-2023</w:t>
      </w:r>
      <w:r>
        <w:rPr>
          <w:rFonts w:cstheme="minorHAnsi"/>
          <w:sz w:val="24"/>
          <w:szCs w:val="24"/>
        </w:rPr>
        <w:t>Classificação x Prazos</w:t>
      </w:r>
    </w:p>
    <w:p w14:paraId="658ABDCA" w14:textId="77777777" w:rsidR="00FD7D45" w:rsidRPr="00792454" w:rsidRDefault="00FD7D45" w:rsidP="00FD7D45">
      <w:pPr>
        <w:spacing w:before="60" w:after="120" w:line="360" w:lineRule="auto"/>
        <w:jc w:val="both"/>
        <w:rPr>
          <w:sz w:val="24"/>
          <w:szCs w:val="24"/>
        </w:rPr>
      </w:pPr>
      <w:r w:rsidRPr="00390C09">
        <w:rPr>
          <w:noProof/>
          <w:sz w:val="24"/>
          <w:szCs w:val="24"/>
        </w:rPr>
        <w:drawing>
          <wp:inline distT="0" distB="0" distL="0" distR="0" wp14:anchorId="6A73B932" wp14:editId="7494922C">
            <wp:extent cx="5760720" cy="2338705"/>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60720" cy="2338705"/>
                    </a:xfrm>
                    <a:prstGeom prst="rect">
                      <a:avLst/>
                    </a:prstGeom>
                    <a:noFill/>
                    <a:ln>
                      <a:noFill/>
                    </a:ln>
                  </pic:spPr>
                </pic:pic>
              </a:graphicData>
            </a:graphic>
          </wp:inline>
        </w:drawing>
      </w:r>
    </w:p>
    <w:p w14:paraId="169FEBAA" w14:textId="77777777" w:rsidR="00FD7D45" w:rsidRPr="008D72A9" w:rsidRDefault="00FD7D45" w:rsidP="00FD7D45">
      <w:pPr>
        <w:spacing w:before="60" w:after="120" w:line="360" w:lineRule="auto"/>
        <w:ind w:firstLine="720"/>
        <w:jc w:val="both"/>
        <w:rPr>
          <w:rFonts w:cstheme="minorHAnsi"/>
          <w:sz w:val="24"/>
          <w:szCs w:val="24"/>
        </w:rPr>
      </w:pPr>
      <w:r w:rsidRPr="008D72A9">
        <w:rPr>
          <w:rFonts w:cstheme="minorHAnsi"/>
          <w:sz w:val="24"/>
          <w:szCs w:val="24"/>
        </w:rPr>
        <w:t>A lista dos processos identificados pela Unidade sob sua responsabilidade será inserida na planilha desenvolvida para aplicação do MPP, seguindo as orientações para a sua utilização.</w:t>
      </w:r>
    </w:p>
    <w:p w14:paraId="1020A736" w14:textId="77777777" w:rsidR="00FD7D45" w:rsidRPr="008D72A9" w:rsidRDefault="00FD7D45" w:rsidP="00FD7D45">
      <w:pPr>
        <w:spacing w:before="60" w:after="120" w:line="360" w:lineRule="auto"/>
        <w:ind w:firstLine="720"/>
        <w:jc w:val="both"/>
        <w:rPr>
          <w:rFonts w:cstheme="minorHAnsi"/>
          <w:sz w:val="24"/>
          <w:szCs w:val="24"/>
        </w:rPr>
      </w:pPr>
      <w:r w:rsidRPr="008D72A9">
        <w:rPr>
          <w:rFonts w:cstheme="minorHAnsi"/>
          <w:sz w:val="24"/>
          <w:szCs w:val="24"/>
        </w:rPr>
        <w:t xml:space="preserve">A lista de processos classificados em PA, PM e PB das unidades, aprovada pelo titular da Unidade, serão </w:t>
      </w:r>
      <w:r w:rsidRPr="008D72A9">
        <w:rPr>
          <w:rFonts w:cstheme="minorHAnsi"/>
          <w:sz w:val="24"/>
          <w:szCs w:val="24"/>
          <w:highlight w:val="yellow"/>
        </w:rPr>
        <w:t>encaminhados à Diretoria de Integridade (DINTEG) para avaliação, consolidação e elaboração</w:t>
      </w:r>
      <w:r w:rsidRPr="008D72A9">
        <w:rPr>
          <w:rFonts w:cstheme="minorHAnsi"/>
          <w:sz w:val="24"/>
          <w:szCs w:val="24"/>
        </w:rPr>
        <w:t xml:space="preserve"> do Plano de Gestão de Riscos do Ministério da Saúde, que será avaliado pelo Comitê de Gestão de Riscos e aprovação do Comitê Interno de Governança.</w:t>
      </w:r>
    </w:p>
    <w:p w14:paraId="4FBB7CE9" w14:textId="77777777" w:rsidR="00FD7D45" w:rsidRPr="008D72A9" w:rsidRDefault="00FD7D45" w:rsidP="00FD7D45">
      <w:pPr>
        <w:spacing w:before="60" w:after="120" w:line="360" w:lineRule="auto"/>
        <w:ind w:firstLine="720"/>
        <w:jc w:val="both"/>
        <w:rPr>
          <w:rFonts w:ascii="Calibri" w:hAnsi="Calibri" w:cs="Calibri"/>
          <w:sz w:val="24"/>
          <w:szCs w:val="24"/>
        </w:rPr>
      </w:pPr>
      <w:r w:rsidRPr="008D72A9">
        <w:rPr>
          <w:rFonts w:ascii="Calibri" w:hAnsi="Calibri" w:cs="Calibri"/>
          <w:sz w:val="24"/>
          <w:szCs w:val="24"/>
        </w:rPr>
        <w:t xml:space="preserve">É importante organizar, registrar, documentar e referenciar as informações e os dados considerados na aplicação do deste Método, com vistas a evidenciar o embasamento do resultado e subsidiar a sua aprovação pelas áreas competentes. </w:t>
      </w:r>
    </w:p>
    <w:p w14:paraId="66B3DC9F" w14:textId="77777777" w:rsidR="00FD7D45" w:rsidRPr="00C60DD1" w:rsidRDefault="00FD7D45" w:rsidP="00586858">
      <w:pPr>
        <w:pStyle w:val="Ttulo1"/>
        <w:widowControl/>
        <w:numPr>
          <w:ilvl w:val="0"/>
          <w:numId w:val="2"/>
        </w:numPr>
        <w:autoSpaceDE/>
        <w:autoSpaceDN/>
        <w:spacing w:before="120" w:after="120" w:line="360" w:lineRule="auto"/>
        <w:ind w:left="357" w:hanging="357"/>
        <w:rPr>
          <w:rFonts w:ascii="Calibri" w:hAnsi="Calibri" w:cs="Calibri"/>
          <w:sz w:val="24"/>
          <w:szCs w:val="24"/>
        </w:rPr>
      </w:pPr>
      <w:bookmarkStart w:id="75" w:name="_Toc470192408"/>
      <w:bookmarkStart w:id="76" w:name="_Toc471466695"/>
      <w:bookmarkStart w:id="77" w:name="_Toc68090954"/>
      <w:bookmarkStart w:id="78" w:name="_Toc68936898"/>
      <w:bookmarkStart w:id="79" w:name="_Toc68937084"/>
      <w:bookmarkStart w:id="80" w:name="_Toc74391118"/>
      <w:bookmarkStart w:id="81" w:name="_Toc74468878"/>
      <w:r w:rsidRPr="00C60DD1">
        <w:rPr>
          <w:rFonts w:ascii="Calibri" w:hAnsi="Calibri" w:cs="Calibri"/>
          <w:sz w:val="24"/>
          <w:szCs w:val="24"/>
        </w:rPr>
        <w:t>Atribuição dos Pesos</w:t>
      </w:r>
      <w:bookmarkEnd w:id="75"/>
      <w:bookmarkEnd w:id="76"/>
      <w:bookmarkEnd w:id="77"/>
      <w:bookmarkEnd w:id="78"/>
      <w:bookmarkEnd w:id="79"/>
      <w:bookmarkEnd w:id="80"/>
      <w:bookmarkEnd w:id="81"/>
      <w:r w:rsidRPr="00C60DD1">
        <w:rPr>
          <w:rFonts w:ascii="Calibri" w:hAnsi="Calibri" w:cs="Calibri"/>
          <w:sz w:val="24"/>
          <w:szCs w:val="24"/>
        </w:rPr>
        <w:t xml:space="preserve">  </w:t>
      </w:r>
    </w:p>
    <w:p w14:paraId="1D23A1C5" w14:textId="77777777" w:rsidR="00FD7D45" w:rsidRPr="008D72A9" w:rsidRDefault="00FD7D45" w:rsidP="00FD7D45">
      <w:pPr>
        <w:spacing w:before="60" w:after="120" w:line="360" w:lineRule="auto"/>
        <w:ind w:firstLine="709"/>
        <w:jc w:val="both"/>
        <w:rPr>
          <w:rFonts w:ascii="Calibri" w:hAnsi="Calibri" w:cs="Calibri"/>
          <w:sz w:val="24"/>
          <w:szCs w:val="24"/>
        </w:rPr>
      </w:pPr>
      <w:r w:rsidRPr="008D72A9">
        <w:rPr>
          <w:rFonts w:ascii="Calibri" w:hAnsi="Calibri" w:cs="Calibri"/>
          <w:sz w:val="24"/>
          <w:szCs w:val="24"/>
        </w:rPr>
        <w:t xml:space="preserve">Os pesos atribuídos no Método de Priorização de Processos, tanto para os critérios de Avaliação Quantitativa como para os fatores da Avaliação Qualitativa, foram obtidos por meio da utilização do modelo </w:t>
      </w:r>
      <w:proofErr w:type="spellStart"/>
      <w:r w:rsidRPr="008D72A9">
        <w:rPr>
          <w:rFonts w:ascii="Calibri" w:hAnsi="Calibri" w:cs="Calibri"/>
          <w:i/>
          <w:iCs/>
          <w:sz w:val="24"/>
          <w:szCs w:val="24"/>
        </w:rPr>
        <w:t>Analytic</w:t>
      </w:r>
      <w:proofErr w:type="spellEnd"/>
      <w:r w:rsidRPr="008D72A9">
        <w:rPr>
          <w:rFonts w:ascii="Calibri" w:hAnsi="Calibri" w:cs="Calibri"/>
          <w:i/>
          <w:iCs/>
          <w:sz w:val="24"/>
          <w:szCs w:val="24"/>
        </w:rPr>
        <w:t xml:space="preserve"> </w:t>
      </w:r>
      <w:proofErr w:type="spellStart"/>
      <w:r w:rsidRPr="008D72A9">
        <w:rPr>
          <w:rFonts w:ascii="Calibri" w:hAnsi="Calibri" w:cs="Calibri"/>
          <w:i/>
          <w:iCs/>
          <w:sz w:val="24"/>
          <w:szCs w:val="24"/>
        </w:rPr>
        <w:t>Hierarchy</w:t>
      </w:r>
      <w:proofErr w:type="spellEnd"/>
      <w:r w:rsidRPr="008D72A9">
        <w:rPr>
          <w:rFonts w:ascii="Calibri" w:hAnsi="Calibri" w:cs="Calibri"/>
          <w:i/>
          <w:iCs/>
          <w:sz w:val="24"/>
          <w:szCs w:val="24"/>
        </w:rPr>
        <w:t xml:space="preserve"> </w:t>
      </w:r>
      <w:proofErr w:type="spellStart"/>
      <w:r w:rsidRPr="008D72A9">
        <w:rPr>
          <w:rFonts w:ascii="Calibri" w:hAnsi="Calibri" w:cs="Calibri"/>
          <w:i/>
          <w:iCs/>
          <w:sz w:val="24"/>
          <w:szCs w:val="24"/>
        </w:rPr>
        <w:t>Process</w:t>
      </w:r>
      <w:proofErr w:type="spellEnd"/>
      <w:r w:rsidRPr="008D72A9">
        <w:rPr>
          <w:rFonts w:ascii="Calibri" w:hAnsi="Calibri" w:cs="Calibri"/>
          <w:i/>
          <w:iCs/>
          <w:sz w:val="24"/>
          <w:szCs w:val="24"/>
        </w:rPr>
        <w:t xml:space="preserve"> (AHP),</w:t>
      </w:r>
      <w:r w:rsidRPr="008D72A9">
        <w:rPr>
          <w:rFonts w:ascii="Calibri" w:hAnsi="Calibri" w:cs="Calibri"/>
          <w:sz w:val="24"/>
          <w:szCs w:val="24"/>
        </w:rPr>
        <w:t xml:space="preserve"> versão Excel MS Excel 2010 (extensão </w:t>
      </w:r>
      <w:proofErr w:type="spellStart"/>
      <w:r w:rsidRPr="008D72A9">
        <w:rPr>
          <w:rFonts w:ascii="Calibri" w:hAnsi="Calibri" w:cs="Calibri"/>
          <w:sz w:val="24"/>
          <w:szCs w:val="24"/>
        </w:rPr>
        <w:t>xlsx</w:t>
      </w:r>
      <w:proofErr w:type="spellEnd"/>
      <w:r w:rsidRPr="008D72A9">
        <w:rPr>
          <w:rFonts w:ascii="Calibri" w:hAnsi="Calibri" w:cs="Calibri"/>
          <w:sz w:val="24"/>
          <w:szCs w:val="24"/>
        </w:rPr>
        <w:t xml:space="preserve">). O modelo AHP foi desenvolvido por </w:t>
      </w:r>
      <w:proofErr w:type="spellStart"/>
      <w:r w:rsidRPr="008D72A9">
        <w:rPr>
          <w:rFonts w:ascii="Calibri" w:hAnsi="Calibri" w:cs="Calibri"/>
          <w:sz w:val="24"/>
          <w:szCs w:val="24"/>
        </w:rPr>
        <w:t>Goepel</w:t>
      </w:r>
      <w:proofErr w:type="spellEnd"/>
      <w:r w:rsidRPr="008D72A9">
        <w:rPr>
          <w:rFonts w:ascii="Calibri" w:hAnsi="Calibri" w:cs="Calibri"/>
          <w:sz w:val="24"/>
          <w:szCs w:val="24"/>
        </w:rPr>
        <w:t xml:space="preserve">, Klaus D., modelo BPMSG AHP Excel, disponível em </w:t>
      </w:r>
      <w:hyperlink r:id="rId76" w:history="1">
        <w:r w:rsidRPr="008D72A9">
          <w:rPr>
            <w:rFonts w:ascii="Calibri" w:hAnsi="Calibri" w:cs="Calibri"/>
            <w:sz w:val="24"/>
            <w:szCs w:val="24"/>
          </w:rPr>
          <w:t>http://bpmsg.com</w:t>
        </w:r>
      </w:hyperlink>
      <w:r w:rsidRPr="008D72A9">
        <w:rPr>
          <w:rFonts w:ascii="Calibri" w:hAnsi="Calibri" w:cs="Calibri"/>
          <w:sz w:val="24"/>
          <w:szCs w:val="24"/>
        </w:rPr>
        <w:t>, cuja versão é de livre uso.</w:t>
      </w:r>
    </w:p>
    <w:p w14:paraId="7B01CC84" w14:textId="77777777" w:rsidR="00FD7D45" w:rsidRPr="008D72A9" w:rsidRDefault="00FD7D45" w:rsidP="00FD7D45">
      <w:pPr>
        <w:spacing w:before="60" w:after="120" w:line="360" w:lineRule="auto"/>
        <w:ind w:firstLine="709"/>
        <w:jc w:val="both"/>
        <w:rPr>
          <w:rFonts w:ascii="Calibri" w:hAnsi="Calibri" w:cs="Calibri"/>
          <w:sz w:val="24"/>
          <w:szCs w:val="24"/>
        </w:rPr>
      </w:pPr>
      <w:r w:rsidRPr="008D72A9">
        <w:rPr>
          <w:rFonts w:ascii="Calibri" w:hAnsi="Calibri" w:cs="Calibri"/>
          <w:sz w:val="24"/>
          <w:szCs w:val="24"/>
        </w:rPr>
        <w:t>A partir de download da versão do AHP disponível no endereço eletrônico já citado, foi possível efetuar sua customização para atender as necessidades do Método de Priorização de Processos do Ministério da Saúde.</w:t>
      </w:r>
    </w:p>
    <w:p w14:paraId="43214314" w14:textId="5DBE4BAF" w:rsidR="00FD7D45" w:rsidRDefault="00FD7D45" w:rsidP="00C60DD1">
      <w:pPr>
        <w:spacing w:before="60" w:after="120" w:line="360" w:lineRule="auto"/>
        <w:ind w:firstLine="709"/>
        <w:jc w:val="both"/>
        <w:rPr>
          <w:rFonts w:ascii="Calibri" w:hAnsi="Calibri" w:cs="Calibri"/>
          <w:sz w:val="24"/>
          <w:szCs w:val="24"/>
        </w:rPr>
      </w:pPr>
      <w:r w:rsidRPr="008D72A9">
        <w:rPr>
          <w:rFonts w:ascii="Calibri" w:hAnsi="Calibri" w:cs="Calibri"/>
          <w:sz w:val="24"/>
          <w:szCs w:val="24"/>
        </w:rPr>
        <w:t xml:space="preserve">A definição dos pesos contou com o julgamento de 11 (onze) técnicos das Unidades do Ministério da Saúde. </w:t>
      </w:r>
    </w:p>
    <w:p w14:paraId="122C4927" w14:textId="11FF833B" w:rsidR="00FD7D45" w:rsidRDefault="00FD7D45" w:rsidP="00586858">
      <w:pPr>
        <w:pStyle w:val="Ttulo1"/>
        <w:widowControl/>
        <w:numPr>
          <w:ilvl w:val="0"/>
          <w:numId w:val="2"/>
        </w:numPr>
        <w:autoSpaceDE/>
        <w:autoSpaceDN/>
        <w:spacing w:before="120" w:after="120" w:line="360" w:lineRule="auto"/>
        <w:ind w:left="357" w:hanging="357"/>
        <w:rPr>
          <w:rFonts w:asciiTheme="minorHAnsi" w:hAnsiTheme="minorHAnsi" w:cstheme="minorHAnsi"/>
          <w:sz w:val="24"/>
          <w:szCs w:val="24"/>
        </w:rPr>
      </w:pPr>
      <w:bookmarkStart w:id="82" w:name="_Toc470192409"/>
      <w:bookmarkStart w:id="83" w:name="_Toc471466696"/>
      <w:bookmarkStart w:id="84" w:name="_Toc68090955"/>
      <w:bookmarkStart w:id="85" w:name="_Toc68936899"/>
      <w:bookmarkStart w:id="86" w:name="_Toc68937085"/>
      <w:bookmarkStart w:id="87" w:name="_Toc74391119"/>
      <w:bookmarkStart w:id="88" w:name="_Toc74468879"/>
      <w:r w:rsidRPr="00C60DD1">
        <w:rPr>
          <w:rFonts w:asciiTheme="minorHAnsi" w:hAnsiTheme="minorHAnsi" w:cstheme="minorHAnsi"/>
          <w:sz w:val="24"/>
          <w:szCs w:val="24"/>
        </w:rPr>
        <w:t>Aplicação do Método de Priorização</w:t>
      </w:r>
      <w:bookmarkEnd w:id="82"/>
      <w:bookmarkEnd w:id="83"/>
      <w:r w:rsidRPr="00C60DD1">
        <w:rPr>
          <w:rFonts w:asciiTheme="minorHAnsi" w:hAnsiTheme="minorHAnsi" w:cstheme="minorHAnsi"/>
          <w:sz w:val="24"/>
          <w:szCs w:val="24"/>
        </w:rPr>
        <w:t xml:space="preserve"> de Processos</w:t>
      </w:r>
      <w:bookmarkEnd w:id="84"/>
      <w:bookmarkEnd w:id="85"/>
      <w:bookmarkEnd w:id="86"/>
      <w:bookmarkEnd w:id="87"/>
      <w:bookmarkEnd w:id="88"/>
    </w:p>
    <w:p w14:paraId="47FF19A3" w14:textId="77777777" w:rsidR="00FD7D45" w:rsidRPr="008D72A9" w:rsidRDefault="00FD7D45" w:rsidP="00FD7D45">
      <w:pPr>
        <w:ind w:firstLine="709"/>
        <w:jc w:val="both"/>
        <w:rPr>
          <w:rFonts w:cstheme="minorHAnsi"/>
          <w:sz w:val="24"/>
          <w:szCs w:val="24"/>
        </w:rPr>
      </w:pPr>
      <w:r w:rsidRPr="008D72A9">
        <w:rPr>
          <w:rFonts w:cstheme="minorHAnsi"/>
          <w:sz w:val="24"/>
          <w:szCs w:val="24"/>
        </w:rPr>
        <w:t>A aplicação será efetuada por meio de planilha Excel, desenvolvida pela Diretoria Integridade.</w:t>
      </w:r>
    </w:p>
    <w:p w14:paraId="20874C19" w14:textId="77777777" w:rsidR="00FD7D45" w:rsidRPr="008D72A9" w:rsidRDefault="00FD7D45" w:rsidP="00FD7D45">
      <w:pPr>
        <w:ind w:firstLine="709"/>
        <w:jc w:val="both"/>
        <w:rPr>
          <w:rFonts w:cstheme="minorHAnsi"/>
          <w:sz w:val="24"/>
          <w:szCs w:val="24"/>
        </w:rPr>
      </w:pPr>
      <w:r w:rsidRPr="008D72A9">
        <w:rPr>
          <w:rFonts w:cstheme="minorHAnsi"/>
          <w:sz w:val="24"/>
          <w:szCs w:val="24"/>
        </w:rPr>
        <w:t xml:space="preserve">A unidade, com base na Cadeia de Valor, preenche o campo “Processos”, em seguida, com as informações sobre o orçamento previsto para cada processo, preenche o campo “Materialidade”. </w:t>
      </w:r>
    </w:p>
    <w:p w14:paraId="017F124F" w14:textId="77777777" w:rsidR="00FD7D45" w:rsidRPr="008D72A9" w:rsidRDefault="00FD7D45" w:rsidP="00FD7D45">
      <w:pPr>
        <w:ind w:firstLine="709"/>
        <w:jc w:val="both"/>
        <w:rPr>
          <w:rFonts w:cstheme="minorHAnsi"/>
          <w:sz w:val="24"/>
          <w:szCs w:val="24"/>
        </w:rPr>
      </w:pPr>
      <w:r w:rsidRPr="008D72A9">
        <w:rPr>
          <w:rFonts w:cstheme="minorHAnsi"/>
          <w:sz w:val="24"/>
          <w:szCs w:val="24"/>
        </w:rPr>
        <w:t>A planilha está preparada para calcular automaticamente a nota do critério Materialidade, atribuindo, de acordo com o nível de relevância, a respectiva nota, conforme item 2.1.</w:t>
      </w:r>
    </w:p>
    <w:p w14:paraId="02EE0F29" w14:textId="77777777" w:rsidR="00FD7D45" w:rsidRPr="008D72A9" w:rsidRDefault="00FD7D45" w:rsidP="00FD7D45">
      <w:pPr>
        <w:ind w:firstLine="709"/>
        <w:jc w:val="both"/>
        <w:rPr>
          <w:rFonts w:cstheme="minorHAnsi"/>
          <w:sz w:val="24"/>
          <w:szCs w:val="24"/>
        </w:rPr>
      </w:pPr>
      <w:r w:rsidRPr="008D72A9">
        <w:rPr>
          <w:rFonts w:cstheme="minorHAnsi"/>
          <w:sz w:val="24"/>
          <w:szCs w:val="24"/>
        </w:rPr>
        <w:t>A nota da avaliação qualitativa também é calculada, automaticamente, de acordo com os parâmetros do item 2.2.</w:t>
      </w:r>
    </w:p>
    <w:p w14:paraId="466DF00C" w14:textId="77777777" w:rsidR="00FD7D45" w:rsidRPr="00C60DD1" w:rsidRDefault="00FD7D45" w:rsidP="00586858">
      <w:pPr>
        <w:pStyle w:val="Ttulo1"/>
        <w:widowControl/>
        <w:numPr>
          <w:ilvl w:val="0"/>
          <w:numId w:val="2"/>
        </w:numPr>
        <w:autoSpaceDE/>
        <w:autoSpaceDN/>
        <w:spacing w:before="120" w:after="120" w:line="360" w:lineRule="auto"/>
        <w:ind w:left="357" w:hanging="357"/>
        <w:rPr>
          <w:rFonts w:ascii="Calibri" w:hAnsi="Calibri" w:cs="Calibri"/>
          <w:sz w:val="24"/>
          <w:szCs w:val="24"/>
        </w:rPr>
      </w:pPr>
      <w:bookmarkStart w:id="89" w:name="_Toc471466701"/>
      <w:bookmarkStart w:id="90" w:name="_Toc68090956"/>
      <w:bookmarkStart w:id="91" w:name="_Toc68936900"/>
      <w:bookmarkStart w:id="92" w:name="_Toc68937086"/>
      <w:bookmarkStart w:id="93" w:name="_Toc74391120"/>
      <w:bookmarkStart w:id="94" w:name="_Toc74468880"/>
      <w:r w:rsidRPr="00C60DD1">
        <w:rPr>
          <w:rFonts w:ascii="Calibri" w:hAnsi="Calibri" w:cs="Calibri"/>
          <w:sz w:val="24"/>
          <w:szCs w:val="24"/>
        </w:rPr>
        <w:t>Referências Bibliográficas</w:t>
      </w:r>
      <w:bookmarkEnd w:id="89"/>
      <w:bookmarkEnd w:id="90"/>
      <w:bookmarkEnd w:id="91"/>
      <w:bookmarkEnd w:id="92"/>
      <w:bookmarkEnd w:id="93"/>
      <w:bookmarkEnd w:id="94"/>
    </w:p>
    <w:p w14:paraId="029EE6B0" w14:textId="3E6880D2" w:rsidR="00FD7D45" w:rsidRDefault="00FD7D45" w:rsidP="00FD7D45">
      <w:pPr>
        <w:rPr>
          <w:rFonts w:ascii="Calibri" w:hAnsi="Calibri" w:cs="Calibri"/>
          <w:sz w:val="24"/>
          <w:szCs w:val="24"/>
        </w:rPr>
      </w:pPr>
      <w:r w:rsidRPr="008D72A9">
        <w:rPr>
          <w:rFonts w:ascii="Calibri" w:hAnsi="Calibri" w:cs="Calibri"/>
          <w:sz w:val="24"/>
          <w:szCs w:val="24"/>
        </w:rPr>
        <w:t xml:space="preserve">AHP - </w:t>
      </w:r>
      <w:proofErr w:type="spellStart"/>
      <w:r w:rsidRPr="008D72A9">
        <w:rPr>
          <w:rFonts w:ascii="Calibri" w:hAnsi="Calibri" w:cs="Calibri"/>
          <w:b/>
          <w:i/>
          <w:color w:val="212121"/>
          <w:sz w:val="24"/>
          <w:szCs w:val="24"/>
          <w:shd w:val="clear" w:color="auto" w:fill="FFFFFF"/>
        </w:rPr>
        <w:t>Analytic</w:t>
      </w:r>
      <w:proofErr w:type="spellEnd"/>
      <w:r w:rsidRPr="008D72A9">
        <w:rPr>
          <w:rFonts w:ascii="Calibri" w:hAnsi="Calibri" w:cs="Calibri"/>
          <w:b/>
          <w:i/>
          <w:color w:val="212121"/>
          <w:sz w:val="24"/>
          <w:szCs w:val="24"/>
          <w:shd w:val="clear" w:color="auto" w:fill="FFFFFF"/>
        </w:rPr>
        <w:t xml:space="preserve"> </w:t>
      </w:r>
      <w:proofErr w:type="spellStart"/>
      <w:r w:rsidRPr="008D72A9">
        <w:rPr>
          <w:rFonts w:ascii="Calibri" w:hAnsi="Calibri" w:cs="Calibri"/>
          <w:b/>
          <w:i/>
          <w:color w:val="212121"/>
          <w:sz w:val="24"/>
          <w:szCs w:val="24"/>
          <w:shd w:val="clear" w:color="auto" w:fill="FFFFFF"/>
        </w:rPr>
        <w:t>Hierarchy</w:t>
      </w:r>
      <w:proofErr w:type="spellEnd"/>
      <w:r w:rsidRPr="008D72A9">
        <w:rPr>
          <w:rFonts w:ascii="Calibri" w:hAnsi="Calibri" w:cs="Calibri"/>
          <w:b/>
          <w:i/>
          <w:color w:val="212121"/>
          <w:sz w:val="24"/>
          <w:szCs w:val="24"/>
          <w:shd w:val="clear" w:color="auto" w:fill="FFFFFF"/>
        </w:rPr>
        <w:t xml:space="preserve"> </w:t>
      </w:r>
      <w:proofErr w:type="spellStart"/>
      <w:r w:rsidRPr="008D72A9">
        <w:rPr>
          <w:rFonts w:ascii="Calibri" w:hAnsi="Calibri" w:cs="Calibri"/>
          <w:b/>
          <w:i/>
          <w:color w:val="212121"/>
          <w:sz w:val="24"/>
          <w:szCs w:val="24"/>
          <w:shd w:val="clear" w:color="auto" w:fill="FFFFFF"/>
        </w:rPr>
        <w:t>Process</w:t>
      </w:r>
      <w:proofErr w:type="spellEnd"/>
      <w:r w:rsidRPr="008D72A9">
        <w:rPr>
          <w:rFonts w:ascii="Calibri" w:hAnsi="Calibri" w:cs="Calibri"/>
          <w:color w:val="212121"/>
          <w:sz w:val="24"/>
          <w:szCs w:val="24"/>
          <w:shd w:val="clear" w:color="auto" w:fill="FFFFFF"/>
        </w:rPr>
        <w:t xml:space="preserve">, </w:t>
      </w:r>
      <w:r w:rsidRPr="008D72A9">
        <w:rPr>
          <w:rFonts w:ascii="Calibri" w:hAnsi="Calibri" w:cs="Calibri"/>
          <w:sz w:val="24"/>
          <w:szCs w:val="24"/>
        </w:rPr>
        <w:t xml:space="preserve">Excel MS Excel 2010 (extensão </w:t>
      </w:r>
      <w:proofErr w:type="spellStart"/>
      <w:r w:rsidRPr="008D72A9">
        <w:rPr>
          <w:rFonts w:ascii="Calibri" w:hAnsi="Calibri" w:cs="Calibri"/>
          <w:sz w:val="24"/>
          <w:szCs w:val="24"/>
        </w:rPr>
        <w:t>xlsx</w:t>
      </w:r>
      <w:proofErr w:type="spellEnd"/>
      <w:r w:rsidRPr="008D72A9">
        <w:rPr>
          <w:rFonts w:ascii="Calibri" w:hAnsi="Calibri" w:cs="Calibri"/>
          <w:sz w:val="24"/>
          <w:szCs w:val="24"/>
        </w:rPr>
        <w:t xml:space="preserve">). O modelo AHP foi desenvolvido por </w:t>
      </w:r>
      <w:proofErr w:type="spellStart"/>
      <w:r w:rsidRPr="008D72A9">
        <w:rPr>
          <w:rFonts w:ascii="Calibri" w:hAnsi="Calibri" w:cs="Calibri"/>
          <w:sz w:val="24"/>
          <w:szCs w:val="24"/>
        </w:rPr>
        <w:t>Goepel</w:t>
      </w:r>
      <w:proofErr w:type="spellEnd"/>
      <w:r w:rsidRPr="008D72A9">
        <w:rPr>
          <w:rFonts w:ascii="Calibri" w:hAnsi="Calibri" w:cs="Calibri"/>
          <w:sz w:val="24"/>
          <w:szCs w:val="24"/>
        </w:rPr>
        <w:t>, Klaus D., modelo BPMSG AHP Excel, disponível em http://bpmsg.com, cuja versão é de livre uso. Acesso em 29.set.2016.</w:t>
      </w:r>
    </w:p>
    <w:p w14:paraId="35400986" w14:textId="77777777" w:rsidR="00C5697F" w:rsidRPr="007466F9" w:rsidRDefault="00C5697F" w:rsidP="00C5697F">
      <w:pPr>
        <w:jc w:val="both"/>
        <w:rPr>
          <w:sz w:val="24"/>
          <w:szCs w:val="24"/>
        </w:rPr>
      </w:pPr>
      <w:r w:rsidRPr="007466F9">
        <w:rPr>
          <w:sz w:val="24"/>
          <w:szCs w:val="24"/>
        </w:rPr>
        <w:t xml:space="preserve">BRASIL. Ministério da Transparência e Controladoria-Geral da União. </w:t>
      </w:r>
      <w:r w:rsidRPr="007466F9">
        <w:rPr>
          <w:bCs/>
          <w:sz w:val="24"/>
          <w:szCs w:val="24"/>
        </w:rPr>
        <w:t>Metodologia de Gestão</w:t>
      </w:r>
      <w:r w:rsidRPr="007466F9">
        <w:rPr>
          <w:bCs/>
          <w:sz w:val="24"/>
          <w:szCs w:val="24"/>
        </w:rPr>
        <w:tab/>
        <w:t>de</w:t>
      </w:r>
      <w:r w:rsidRPr="007466F9">
        <w:rPr>
          <w:bCs/>
          <w:sz w:val="24"/>
          <w:szCs w:val="24"/>
        </w:rPr>
        <w:tab/>
        <w:t>Riscos</w:t>
      </w:r>
      <w:r w:rsidRPr="007466F9">
        <w:rPr>
          <w:sz w:val="24"/>
          <w:szCs w:val="24"/>
        </w:rPr>
        <w:t>.</w:t>
      </w:r>
      <w:r w:rsidRPr="007466F9">
        <w:rPr>
          <w:sz w:val="24"/>
          <w:szCs w:val="24"/>
        </w:rPr>
        <w:tab/>
        <w:t>Disponível</w:t>
      </w:r>
      <w:r w:rsidRPr="007466F9">
        <w:rPr>
          <w:sz w:val="24"/>
          <w:szCs w:val="24"/>
        </w:rPr>
        <w:tab/>
      </w:r>
      <w:r w:rsidRPr="007466F9">
        <w:rPr>
          <w:spacing w:val="-8"/>
          <w:sz w:val="24"/>
          <w:szCs w:val="24"/>
        </w:rPr>
        <w:t xml:space="preserve">em </w:t>
      </w:r>
      <w:hyperlink r:id="rId77">
        <w:r w:rsidRPr="007466F9">
          <w:rPr>
            <w:color w:val="0462C1"/>
            <w:sz w:val="24"/>
            <w:szCs w:val="24"/>
            <w:u w:val="single" w:color="0462C1"/>
          </w:rPr>
          <w:t>http://www.cgu.gov.br/Publicacoes/institucionais/arquivos/cgu-metodologia-gestao-</w:t>
        </w:r>
      </w:hyperlink>
      <w:r w:rsidRPr="007466F9">
        <w:rPr>
          <w:color w:val="0462C1"/>
          <w:sz w:val="24"/>
          <w:szCs w:val="24"/>
        </w:rPr>
        <w:t xml:space="preserve"> </w:t>
      </w:r>
      <w:hyperlink r:id="rId78">
        <w:r w:rsidRPr="007466F9">
          <w:rPr>
            <w:color w:val="0462C1"/>
            <w:sz w:val="24"/>
            <w:szCs w:val="24"/>
            <w:u w:val="single" w:color="0462C1"/>
          </w:rPr>
          <w:t>riscos-2018.pdf</w:t>
        </w:r>
        <w:r w:rsidRPr="007466F9">
          <w:rPr>
            <w:sz w:val="24"/>
            <w:szCs w:val="24"/>
          </w:rPr>
          <w:t>.</w:t>
        </w:r>
      </w:hyperlink>
    </w:p>
    <w:p w14:paraId="4A22D487" w14:textId="77777777" w:rsidR="00C5697F" w:rsidRPr="008D72A9" w:rsidRDefault="00C5697F" w:rsidP="00FD7D45">
      <w:pPr>
        <w:rPr>
          <w:rFonts w:ascii="Calibri" w:hAnsi="Calibri" w:cs="Calibri"/>
          <w:sz w:val="24"/>
          <w:szCs w:val="24"/>
        </w:rPr>
      </w:pPr>
    </w:p>
    <w:sectPr w:rsidR="00C5697F" w:rsidRPr="008D72A9" w:rsidSect="00735F1D">
      <w:headerReference w:type="default" r:id="rId79"/>
      <w:footerReference w:type="default" r:id="rId80"/>
      <w:pgSz w:w="11906" w:h="16838"/>
      <w:pgMar w:top="1985"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1CD80" w14:textId="77777777" w:rsidR="007E2F45" w:rsidRDefault="007E2F45" w:rsidP="007920F8">
      <w:pPr>
        <w:spacing w:after="0" w:line="240" w:lineRule="auto"/>
      </w:pPr>
      <w:r>
        <w:separator/>
      </w:r>
    </w:p>
  </w:endnote>
  <w:endnote w:type="continuationSeparator" w:id="0">
    <w:p w14:paraId="41F489AA" w14:textId="77777777" w:rsidR="007E2F45" w:rsidRDefault="007E2F45" w:rsidP="00792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___WRD_EMBED_SUB_41">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F0918" w14:textId="0A9C5E7C" w:rsidR="007920F8" w:rsidRPr="007920F8" w:rsidRDefault="007920F8" w:rsidP="007920F8">
    <w:pPr>
      <w:pStyle w:val="Rodap"/>
    </w:pPr>
    <w:r>
      <w:rPr>
        <w:noProof/>
        <w:lang w:eastAsia="pt-BR"/>
      </w:rPr>
      <w:drawing>
        <wp:anchor distT="0" distB="0" distL="114300" distR="114300" simplePos="0" relativeHeight="251658240" behindDoc="0" locked="0" layoutInCell="1" allowOverlap="1" wp14:anchorId="5B6701A6" wp14:editId="641FEAD5">
          <wp:simplePos x="0" y="0"/>
          <wp:positionH relativeFrom="page">
            <wp:align>left</wp:align>
          </wp:positionH>
          <wp:positionV relativeFrom="margin">
            <wp:posOffset>8726170</wp:posOffset>
          </wp:positionV>
          <wp:extent cx="7555230" cy="842010"/>
          <wp:effectExtent l="0" t="0" r="7620" b="0"/>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7555230" cy="8420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3EF9C" w14:textId="77777777" w:rsidR="007E2F45" w:rsidRDefault="007E2F45" w:rsidP="007920F8">
      <w:pPr>
        <w:spacing w:after="0" w:line="240" w:lineRule="auto"/>
      </w:pPr>
      <w:r>
        <w:separator/>
      </w:r>
    </w:p>
  </w:footnote>
  <w:footnote w:type="continuationSeparator" w:id="0">
    <w:p w14:paraId="6D453278" w14:textId="77777777" w:rsidR="007E2F45" w:rsidRDefault="007E2F45" w:rsidP="007920F8">
      <w:pPr>
        <w:spacing w:after="0" w:line="240" w:lineRule="auto"/>
      </w:pPr>
      <w:r>
        <w:continuationSeparator/>
      </w:r>
    </w:p>
  </w:footnote>
  <w:footnote w:id="1">
    <w:p w14:paraId="18299A4C" w14:textId="77777777" w:rsidR="00FD7D45" w:rsidRPr="004561BD" w:rsidRDefault="00FD7D45" w:rsidP="00FD7D45">
      <w:pPr>
        <w:pStyle w:val="Textodenotaderodap"/>
        <w:rPr>
          <w:lang w:val="pt-BR"/>
        </w:rPr>
      </w:pPr>
      <w:r>
        <w:rPr>
          <w:rStyle w:val="Refdenotaderodap"/>
        </w:rPr>
        <w:footnoteRef/>
      </w:r>
      <w:r>
        <w:t xml:space="preserve"> </w:t>
      </w:r>
      <w:r w:rsidRPr="004561BD">
        <w:rPr>
          <w:i/>
          <w:iCs/>
        </w:rPr>
        <w:t>Committee of Sponsoring Organizations of the Treadway Commission</w:t>
      </w:r>
    </w:p>
  </w:footnote>
  <w:footnote w:id="2">
    <w:p w14:paraId="0F110771" w14:textId="77777777" w:rsidR="00FD7D45" w:rsidRPr="006653D1" w:rsidRDefault="00FD7D45" w:rsidP="00FD7D45">
      <w:pPr>
        <w:pStyle w:val="Textodenotaderodap"/>
        <w:jc w:val="both"/>
        <w:rPr>
          <w:rFonts w:ascii="Arial" w:hAnsi="Arial" w:cs="Arial"/>
          <w:i/>
          <w:iCs/>
          <w:sz w:val="18"/>
          <w:szCs w:val="18"/>
        </w:rPr>
      </w:pPr>
      <w:r>
        <w:rPr>
          <w:rStyle w:val="Refdenotaderodap"/>
        </w:rPr>
        <w:footnoteRef/>
      </w:r>
      <w:r>
        <w:t xml:space="preserve"> </w:t>
      </w:r>
      <w:r w:rsidRPr="006653D1">
        <w:t xml:space="preserve">  </w:t>
      </w:r>
      <w:r w:rsidRPr="006653D1">
        <w:rPr>
          <w:rFonts w:ascii="Arial" w:hAnsi="Arial" w:cs="Arial"/>
          <w:i/>
          <w:iCs/>
          <w:sz w:val="18"/>
          <w:szCs w:val="18"/>
        </w:rPr>
        <w:t>O AHP é um método de análise multicritério baseado em um processo de ponderação aditiva, no qual diversos atributos relevantes são representados por suas importâncias relativas, traduzidas em um denominador comum através de processo de comparações pareadas, onde as relevâncias dos atributos são confrontadas duas a duas em uma estrutura hierárquica.</w:t>
      </w:r>
    </w:p>
  </w:footnote>
  <w:footnote w:id="3">
    <w:p w14:paraId="1B572583" w14:textId="77777777" w:rsidR="00FD7D45" w:rsidRPr="006653D1" w:rsidRDefault="00FD7D45" w:rsidP="00FD7D45">
      <w:pPr>
        <w:pStyle w:val="Textodenotaderodap"/>
        <w:jc w:val="both"/>
        <w:rPr>
          <w:rFonts w:ascii="Arial" w:hAnsi="Arial" w:cs="Arial"/>
          <w:i/>
          <w:iCs/>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B0265" w14:textId="522A1EE7" w:rsidR="007920F8" w:rsidRDefault="007920F8">
    <w:pPr>
      <w:pStyle w:val="Cabealho"/>
    </w:pPr>
    <w:r>
      <w:rPr>
        <w:noProof/>
        <w:lang w:eastAsia="pt-BR"/>
      </w:rPr>
      <w:drawing>
        <wp:anchor distT="0" distB="0" distL="114300" distR="114300" simplePos="0" relativeHeight="251659264" behindDoc="0" locked="0" layoutInCell="1" allowOverlap="1" wp14:anchorId="45D612B4" wp14:editId="44FC856C">
          <wp:simplePos x="0" y="0"/>
          <wp:positionH relativeFrom="margin">
            <wp:align>center</wp:align>
          </wp:positionH>
          <wp:positionV relativeFrom="margin">
            <wp:posOffset>-915035</wp:posOffset>
          </wp:positionV>
          <wp:extent cx="1020445" cy="635635"/>
          <wp:effectExtent l="0" t="0" r="8255" b="0"/>
          <wp:wrapSquare wrapText="bothSides"/>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pic:cNvPicPr/>
                </pic:nvPicPr>
                <pic:blipFill>
                  <a:blip r:embed="rId1">
                    <a:extLst>
                      <a:ext uri="{28A0092B-C50C-407E-A947-70E740481C1C}">
                        <a14:useLocalDpi xmlns:a14="http://schemas.microsoft.com/office/drawing/2010/main" val="0"/>
                      </a:ext>
                    </a:extLst>
                  </a:blip>
                  <a:stretch>
                    <a:fillRect/>
                  </a:stretch>
                </pic:blipFill>
                <pic:spPr>
                  <a:xfrm>
                    <a:off x="0" y="0"/>
                    <a:ext cx="1020445" cy="635635"/>
                  </a:xfrm>
                  <a:prstGeom prst="rect">
                    <a:avLst/>
                  </a:prstGeom>
                </pic:spPr>
              </pic:pic>
            </a:graphicData>
          </a:graphic>
          <wp14:sizeRelH relativeFrom="margin">
            <wp14:pctWidth>0</wp14:pctWidth>
          </wp14:sizeRelH>
          <wp14:sizeRelV relativeFrom="margin">
            <wp14:pctHeight>0</wp14:pctHeight>
          </wp14:sizeRelV>
        </wp:anchor>
      </w:drawing>
    </w:r>
  </w:p>
  <w:p w14:paraId="3ABF4AF7" w14:textId="75DB6358" w:rsidR="007920F8" w:rsidRDefault="007920F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401EF"/>
    <w:multiLevelType w:val="hybridMultilevel"/>
    <w:tmpl w:val="7A76A132"/>
    <w:lvl w:ilvl="0" w:tplc="04160005">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15:restartNumberingAfterBreak="0">
    <w:nsid w:val="3F526034"/>
    <w:multiLevelType w:val="multilevel"/>
    <w:tmpl w:val="C4266BF8"/>
    <w:styleLink w:val="Estilo4"/>
    <w:lvl w:ilvl="0">
      <w:start w:val="1"/>
      <w:numFmt w:val="decimal"/>
      <w:lvlText w:val="2.2.%1"/>
      <w:lvlJc w:val="right"/>
      <w:pPr>
        <w:ind w:left="720" w:hanging="360"/>
      </w:pPr>
      <w:rPr>
        <w:rFonts w:ascii="Times New Roman" w:hAnsi="Times New Roman" w:hint="default"/>
        <w:b w:val="0"/>
        <w:i w:val="0"/>
        <w:sz w:val="22"/>
        <w:szCs w:val="2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D131446"/>
    <w:multiLevelType w:val="multilevel"/>
    <w:tmpl w:val="B12A1806"/>
    <w:lvl w:ilvl="0">
      <w:start w:val="1"/>
      <w:numFmt w:val="decimal"/>
      <w:lvlText w:val="%1."/>
      <w:lvlJc w:val="left"/>
      <w:pPr>
        <w:ind w:left="360" w:hanging="360"/>
      </w:pPr>
      <w:rPr>
        <w:rFonts w:hint="default"/>
        <w:sz w:val="24"/>
      </w:rPr>
    </w:lvl>
    <w:lvl w:ilvl="1">
      <w:start w:val="1"/>
      <w:numFmt w:val="decimal"/>
      <w:lvlText w:val="%1.%2."/>
      <w:lvlJc w:val="left"/>
      <w:pPr>
        <w:ind w:left="9363"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EA601F5"/>
    <w:multiLevelType w:val="multilevel"/>
    <w:tmpl w:val="9A44A370"/>
    <w:lvl w:ilvl="0">
      <w:start w:val="1"/>
      <w:numFmt w:val="decimal"/>
      <w:lvlText w:val="%1."/>
      <w:lvlJc w:val="left"/>
      <w:pPr>
        <w:ind w:left="360" w:hanging="360"/>
      </w:pPr>
      <w:rPr>
        <w:rFonts w:ascii="Times New Roman" w:hAnsi="Times New Roman" w:hint="default"/>
        <w:color w:val="auto"/>
        <w:sz w:val="26"/>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62CC0554"/>
    <w:multiLevelType w:val="multilevel"/>
    <w:tmpl w:val="286E8EB4"/>
    <w:lvl w:ilvl="0">
      <w:start w:val="2"/>
      <w:numFmt w:val="decimal"/>
      <w:lvlText w:val="%1"/>
      <w:lvlJc w:val="left"/>
      <w:pPr>
        <w:ind w:left="360" w:hanging="360"/>
      </w:pPr>
      <w:rPr>
        <w:rFonts w:ascii="Times New Roman" w:hAnsi="Times New Roman" w:cs="Times New Roman" w:hint="default"/>
        <w:color w:val="auto"/>
        <w:sz w:val="24"/>
      </w:rPr>
    </w:lvl>
    <w:lvl w:ilvl="1">
      <w:start w:val="1"/>
      <w:numFmt w:val="decimal"/>
      <w:lvlText w:val="%1.%2"/>
      <w:lvlJc w:val="left"/>
      <w:pPr>
        <w:ind w:left="720" w:hanging="720"/>
      </w:pPr>
      <w:rPr>
        <w:rFonts w:ascii="Times New Roman" w:hAnsi="Times New Roman" w:cs="Times New Roman" w:hint="default"/>
        <w:color w:val="auto"/>
        <w:sz w:val="24"/>
      </w:rPr>
    </w:lvl>
    <w:lvl w:ilvl="2">
      <w:start w:val="1"/>
      <w:numFmt w:val="decimal"/>
      <w:lvlText w:val="%1.%2.%3"/>
      <w:lvlJc w:val="left"/>
      <w:pPr>
        <w:ind w:left="720" w:hanging="720"/>
      </w:pPr>
      <w:rPr>
        <w:rFonts w:ascii="Times New Roman" w:hAnsi="Times New Roman" w:cs="Times New Roman" w:hint="default"/>
        <w:color w:val="auto"/>
        <w:sz w:val="24"/>
      </w:rPr>
    </w:lvl>
    <w:lvl w:ilvl="3">
      <w:start w:val="1"/>
      <w:numFmt w:val="decimal"/>
      <w:lvlText w:val="%1.%2.%3.%4"/>
      <w:lvlJc w:val="left"/>
      <w:pPr>
        <w:ind w:left="1080" w:hanging="1080"/>
      </w:pPr>
      <w:rPr>
        <w:rFonts w:ascii="Times New Roman" w:hAnsi="Times New Roman" w:cs="Times New Roman" w:hint="default"/>
        <w:color w:val="auto"/>
        <w:sz w:val="24"/>
      </w:rPr>
    </w:lvl>
    <w:lvl w:ilvl="4">
      <w:start w:val="1"/>
      <w:numFmt w:val="decimal"/>
      <w:lvlText w:val="%1.%2.%3.%4.%5"/>
      <w:lvlJc w:val="left"/>
      <w:pPr>
        <w:ind w:left="1440" w:hanging="1440"/>
      </w:pPr>
      <w:rPr>
        <w:rFonts w:ascii="Times New Roman" w:hAnsi="Times New Roman" w:cs="Times New Roman" w:hint="default"/>
        <w:color w:val="auto"/>
        <w:sz w:val="24"/>
      </w:rPr>
    </w:lvl>
    <w:lvl w:ilvl="5">
      <w:start w:val="1"/>
      <w:numFmt w:val="decimal"/>
      <w:lvlText w:val="%1.%2.%3.%4.%5.%6"/>
      <w:lvlJc w:val="left"/>
      <w:pPr>
        <w:ind w:left="1440" w:hanging="1440"/>
      </w:pPr>
      <w:rPr>
        <w:rFonts w:ascii="Times New Roman" w:hAnsi="Times New Roman" w:cs="Times New Roman" w:hint="default"/>
        <w:color w:val="auto"/>
        <w:sz w:val="24"/>
      </w:rPr>
    </w:lvl>
    <w:lvl w:ilvl="6">
      <w:start w:val="1"/>
      <w:numFmt w:val="decimal"/>
      <w:lvlText w:val="%1.%2.%3.%4.%5.%6.%7"/>
      <w:lvlJc w:val="left"/>
      <w:pPr>
        <w:ind w:left="1800" w:hanging="1800"/>
      </w:pPr>
      <w:rPr>
        <w:rFonts w:ascii="Times New Roman" w:hAnsi="Times New Roman" w:cs="Times New Roman" w:hint="default"/>
        <w:color w:val="auto"/>
        <w:sz w:val="24"/>
      </w:rPr>
    </w:lvl>
    <w:lvl w:ilvl="7">
      <w:start w:val="1"/>
      <w:numFmt w:val="decimal"/>
      <w:lvlText w:val="%1.%2.%3.%4.%5.%6.%7.%8"/>
      <w:lvlJc w:val="left"/>
      <w:pPr>
        <w:ind w:left="1800" w:hanging="1800"/>
      </w:pPr>
      <w:rPr>
        <w:rFonts w:ascii="Times New Roman" w:hAnsi="Times New Roman" w:cs="Times New Roman" w:hint="default"/>
        <w:color w:val="auto"/>
        <w:sz w:val="24"/>
      </w:rPr>
    </w:lvl>
    <w:lvl w:ilvl="8">
      <w:start w:val="1"/>
      <w:numFmt w:val="decimal"/>
      <w:lvlText w:val="%1.%2.%3.%4.%5.%6.%7.%8.%9"/>
      <w:lvlJc w:val="left"/>
      <w:pPr>
        <w:ind w:left="2160" w:hanging="2160"/>
      </w:pPr>
      <w:rPr>
        <w:rFonts w:ascii="Times New Roman" w:hAnsi="Times New Roman" w:cs="Times New Roman" w:hint="default"/>
        <w:color w:val="auto"/>
        <w:sz w:val="24"/>
      </w:rPr>
    </w:lvl>
  </w:abstractNum>
  <w:abstractNum w:abstractNumId="5" w15:restartNumberingAfterBreak="0">
    <w:nsid w:val="7B4147A9"/>
    <w:multiLevelType w:val="hybridMultilevel"/>
    <w:tmpl w:val="E19E1E64"/>
    <w:lvl w:ilvl="0" w:tplc="04160005">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1"/>
  </w:num>
  <w:num w:numId="4">
    <w:abstractNumId w:val="3"/>
  </w:num>
  <w:num w:numId="5">
    <w:abstractNumId w:val="0"/>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0F8"/>
    <w:rsid w:val="0002326F"/>
    <w:rsid w:val="000260AB"/>
    <w:rsid w:val="0003185B"/>
    <w:rsid w:val="000734AF"/>
    <w:rsid w:val="00076400"/>
    <w:rsid w:val="00092561"/>
    <w:rsid w:val="00095A66"/>
    <w:rsid w:val="00095B35"/>
    <w:rsid w:val="000E1088"/>
    <w:rsid w:val="001177E6"/>
    <w:rsid w:val="001220AF"/>
    <w:rsid w:val="00136CA2"/>
    <w:rsid w:val="00143388"/>
    <w:rsid w:val="00176470"/>
    <w:rsid w:val="00185B95"/>
    <w:rsid w:val="001A211C"/>
    <w:rsid w:val="001F7B86"/>
    <w:rsid w:val="00201ED4"/>
    <w:rsid w:val="00215B1E"/>
    <w:rsid w:val="00225460"/>
    <w:rsid w:val="00233E83"/>
    <w:rsid w:val="002368D5"/>
    <w:rsid w:val="00263151"/>
    <w:rsid w:val="00285A05"/>
    <w:rsid w:val="0029732F"/>
    <w:rsid w:val="002B1C2D"/>
    <w:rsid w:val="002F0421"/>
    <w:rsid w:val="002F3907"/>
    <w:rsid w:val="00355B14"/>
    <w:rsid w:val="003C45FC"/>
    <w:rsid w:val="003E71F5"/>
    <w:rsid w:val="003F303F"/>
    <w:rsid w:val="00402F44"/>
    <w:rsid w:val="004036F2"/>
    <w:rsid w:val="00407056"/>
    <w:rsid w:val="00414372"/>
    <w:rsid w:val="004225B3"/>
    <w:rsid w:val="00430D04"/>
    <w:rsid w:val="00437859"/>
    <w:rsid w:val="00454BF8"/>
    <w:rsid w:val="004676DD"/>
    <w:rsid w:val="00484137"/>
    <w:rsid w:val="004A0EA8"/>
    <w:rsid w:val="004C008C"/>
    <w:rsid w:val="004C6D65"/>
    <w:rsid w:val="004E578F"/>
    <w:rsid w:val="00504187"/>
    <w:rsid w:val="00506D6C"/>
    <w:rsid w:val="00532ADD"/>
    <w:rsid w:val="00534C73"/>
    <w:rsid w:val="0054603E"/>
    <w:rsid w:val="00586858"/>
    <w:rsid w:val="005A4BC8"/>
    <w:rsid w:val="005B4049"/>
    <w:rsid w:val="005F3A28"/>
    <w:rsid w:val="005F71A0"/>
    <w:rsid w:val="0060739F"/>
    <w:rsid w:val="00677773"/>
    <w:rsid w:val="00684070"/>
    <w:rsid w:val="00685C05"/>
    <w:rsid w:val="006A0E3E"/>
    <w:rsid w:val="006A2E47"/>
    <w:rsid w:val="006C5708"/>
    <w:rsid w:val="006F51AD"/>
    <w:rsid w:val="006F5E55"/>
    <w:rsid w:val="00735364"/>
    <w:rsid w:val="00735F1D"/>
    <w:rsid w:val="007466F9"/>
    <w:rsid w:val="00752271"/>
    <w:rsid w:val="00757525"/>
    <w:rsid w:val="0076068B"/>
    <w:rsid w:val="0079051B"/>
    <w:rsid w:val="007920F8"/>
    <w:rsid w:val="007B2884"/>
    <w:rsid w:val="007B38EF"/>
    <w:rsid w:val="007B7EC2"/>
    <w:rsid w:val="007C2AB0"/>
    <w:rsid w:val="007E24BB"/>
    <w:rsid w:val="007E2F45"/>
    <w:rsid w:val="007E78BA"/>
    <w:rsid w:val="007F01D1"/>
    <w:rsid w:val="007F19B7"/>
    <w:rsid w:val="008022E3"/>
    <w:rsid w:val="0080262B"/>
    <w:rsid w:val="0081087C"/>
    <w:rsid w:val="008151A6"/>
    <w:rsid w:val="00843B3D"/>
    <w:rsid w:val="008447E9"/>
    <w:rsid w:val="0087389C"/>
    <w:rsid w:val="00883017"/>
    <w:rsid w:val="008A6353"/>
    <w:rsid w:val="008D391F"/>
    <w:rsid w:val="008D72A9"/>
    <w:rsid w:val="0092168F"/>
    <w:rsid w:val="0093319F"/>
    <w:rsid w:val="00937561"/>
    <w:rsid w:val="009565F6"/>
    <w:rsid w:val="009643F2"/>
    <w:rsid w:val="00971D2F"/>
    <w:rsid w:val="00983CBF"/>
    <w:rsid w:val="009978DC"/>
    <w:rsid w:val="009E6B60"/>
    <w:rsid w:val="00A037A3"/>
    <w:rsid w:val="00A25E7B"/>
    <w:rsid w:val="00A26C5D"/>
    <w:rsid w:val="00A26CF1"/>
    <w:rsid w:val="00A4003A"/>
    <w:rsid w:val="00A53AC1"/>
    <w:rsid w:val="00A60473"/>
    <w:rsid w:val="00A61398"/>
    <w:rsid w:val="00A77B8C"/>
    <w:rsid w:val="00A859AF"/>
    <w:rsid w:val="00AA2807"/>
    <w:rsid w:val="00AA61BD"/>
    <w:rsid w:val="00AB5E2E"/>
    <w:rsid w:val="00AD1457"/>
    <w:rsid w:val="00B02D17"/>
    <w:rsid w:val="00B07674"/>
    <w:rsid w:val="00B146C5"/>
    <w:rsid w:val="00B178B5"/>
    <w:rsid w:val="00B5031E"/>
    <w:rsid w:val="00B61213"/>
    <w:rsid w:val="00B677CA"/>
    <w:rsid w:val="00BB1018"/>
    <w:rsid w:val="00BC0433"/>
    <w:rsid w:val="00BD30B0"/>
    <w:rsid w:val="00BE6450"/>
    <w:rsid w:val="00C0166F"/>
    <w:rsid w:val="00C22BD2"/>
    <w:rsid w:val="00C27674"/>
    <w:rsid w:val="00C5697F"/>
    <w:rsid w:val="00C60DD1"/>
    <w:rsid w:val="00C66AC0"/>
    <w:rsid w:val="00C66CA1"/>
    <w:rsid w:val="00C70462"/>
    <w:rsid w:val="00C721B1"/>
    <w:rsid w:val="00C75347"/>
    <w:rsid w:val="00C93F86"/>
    <w:rsid w:val="00C94884"/>
    <w:rsid w:val="00CA0591"/>
    <w:rsid w:val="00CB3172"/>
    <w:rsid w:val="00CD4D76"/>
    <w:rsid w:val="00CE6E83"/>
    <w:rsid w:val="00CF0135"/>
    <w:rsid w:val="00D12814"/>
    <w:rsid w:val="00D17C6D"/>
    <w:rsid w:val="00D23DCE"/>
    <w:rsid w:val="00D5185C"/>
    <w:rsid w:val="00D7732C"/>
    <w:rsid w:val="00D95299"/>
    <w:rsid w:val="00DD5E49"/>
    <w:rsid w:val="00DF21B0"/>
    <w:rsid w:val="00DF48C1"/>
    <w:rsid w:val="00DF7563"/>
    <w:rsid w:val="00E101A7"/>
    <w:rsid w:val="00E16328"/>
    <w:rsid w:val="00E338C0"/>
    <w:rsid w:val="00E4602C"/>
    <w:rsid w:val="00E5737A"/>
    <w:rsid w:val="00E633CE"/>
    <w:rsid w:val="00E80EA8"/>
    <w:rsid w:val="00E84232"/>
    <w:rsid w:val="00ED1BFB"/>
    <w:rsid w:val="00F06CD0"/>
    <w:rsid w:val="00F47943"/>
    <w:rsid w:val="00F966A8"/>
    <w:rsid w:val="00FD7D45"/>
    <w:rsid w:val="00FF112D"/>
    <w:rsid w:val="00FF3C6F"/>
    <w:rsid w:val="00FF43F1"/>
    <w:rsid w:val="00FF51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EEBDB"/>
  <w15:chartTrackingRefBased/>
  <w15:docId w15:val="{4A01F2FD-0F4B-416E-BAB5-C43220D44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1"/>
    <w:qFormat/>
    <w:rsid w:val="00FD7D45"/>
    <w:pPr>
      <w:widowControl w:val="0"/>
      <w:autoSpaceDE w:val="0"/>
      <w:autoSpaceDN w:val="0"/>
      <w:spacing w:after="0" w:line="240" w:lineRule="auto"/>
      <w:ind w:left="1102"/>
      <w:outlineLvl w:val="0"/>
    </w:pPr>
    <w:rPr>
      <w:rFonts w:ascii="Times New Roman" w:eastAsia="Times New Roman" w:hAnsi="Times New Roman" w:cs="Times New Roman"/>
      <w:sz w:val="28"/>
      <w:szCs w:val="28"/>
      <w:lang w:val="pt-PT"/>
    </w:rPr>
  </w:style>
  <w:style w:type="paragraph" w:styleId="Ttulo2">
    <w:name w:val="heading 2"/>
    <w:basedOn w:val="Normal"/>
    <w:next w:val="Normal"/>
    <w:link w:val="Ttulo2Char"/>
    <w:uiPriority w:val="9"/>
    <w:semiHidden/>
    <w:unhideWhenUsed/>
    <w:qFormat/>
    <w:rsid w:val="00FD7D45"/>
    <w:pPr>
      <w:keepNext/>
      <w:keepLines/>
      <w:widowControl w:val="0"/>
      <w:autoSpaceDE w:val="0"/>
      <w:autoSpaceDN w:val="0"/>
      <w:spacing w:before="40" w:after="0" w:line="240" w:lineRule="auto"/>
      <w:outlineLvl w:val="1"/>
    </w:pPr>
    <w:rPr>
      <w:rFonts w:asciiTheme="majorHAnsi" w:eastAsiaTheme="majorEastAsia" w:hAnsiTheme="majorHAnsi" w:cstheme="majorBidi"/>
      <w:color w:val="2F5496" w:themeColor="accent1" w:themeShade="BF"/>
      <w:sz w:val="26"/>
      <w:szCs w:val="26"/>
      <w:lang w:val="pt-PT"/>
    </w:rPr>
  </w:style>
  <w:style w:type="paragraph" w:styleId="Ttulo3">
    <w:name w:val="heading 3"/>
    <w:basedOn w:val="Normal"/>
    <w:next w:val="Normal"/>
    <w:link w:val="Ttulo3Char"/>
    <w:uiPriority w:val="9"/>
    <w:semiHidden/>
    <w:unhideWhenUsed/>
    <w:qFormat/>
    <w:rsid w:val="00FD7D45"/>
    <w:pPr>
      <w:keepNext/>
      <w:keepLines/>
      <w:widowControl w:val="0"/>
      <w:autoSpaceDE w:val="0"/>
      <w:autoSpaceDN w:val="0"/>
      <w:spacing w:before="40" w:after="0" w:line="240" w:lineRule="auto"/>
      <w:outlineLvl w:val="2"/>
    </w:pPr>
    <w:rPr>
      <w:rFonts w:asciiTheme="majorHAnsi" w:eastAsiaTheme="majorEastAsia" w:hAnsiTheme="majorHAnsi" w:cstheme="majorBidi"/>
      <w:color w:val="1F3763" w:themeColor="accent1" w:themeShade="7F"/>
      <w:sz w:val="24"/>
      <w:szCs w:val="24"/>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920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920F8"/>
  </w:style>
  <w:style w:type="paragraph" w:styleId="Rodap">
    <w:name w:val="footer"/>
    <w:basedOn w:val="Normal"/>
    <w:link w:val="RodapChar"/>
    <w:uiPriority w:val="99"/>
    <w:unhideWhenUsed/>
    <w:rsid w:val="007920F8"/>
    <w:pPr>
      <w:tabs>
        <w:tab w:val="center" w:pos="4252"/>
        <w:tab w:val="right" w:pos="8504"/>
      </w:tabs>
      <w:spacing w:after="0" w:line="240" w:lineRule="auto"/>
    </w:pPr>
  </w:style>
  <w:style w:type="character" w:customStyle="1" w:styleId="RodapChar">
    <w:name w:val="Rodapé Char"/>
    <w:basedOn w:val="Fontepargpadro"/>
    <w:link w:val="Rodap"/>
    <w:uiPriority w:val="99"/>
    <w:rsid w:val="007920F8"/>
  </w:style>
  <w:style w:type="paragraph" w:styleId="Textodebalo">
    <w:name w:val="Balloon Text"/>
    <w:basedOn w:val="Normal"/>
    <w:link w:val="TextodebaloChar"/>
    <w:uiPriority w:val="99"/>
    <w:semiHidden/>
    <w:unhideWhenUsed/>
    <w:rsid w:val="008A635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A6353"/>
    <w:rPr>
      <w:rFonts w:ascii="Segoe UI" w:hAnsi="Segoe UI" w:cs="Segoe UI"/>
      <w:sz w:val="18"/>
      <w:szCs w:val="18"/>
    </w:rPr>
  </w:style>
  <w:style w:type="character" w:customStyle="1" w:styleId="Ttulo1Char">
    <w:name w:val="Título 1 Char"/>
    <w:basedOn w:val="Fontepargpadro"/>
    <w:link w:val="Ttulo1"/>
    <w:uiPriority w:val="1"/>
    <w:rsid w:val="00FD7D45"/>
    <w:rPr>
      <w:rFonts w:ascii="Times New Roman" w:eastAsia="Times New Roman" w:hAnsi="Times New Roman" w:cs="Times New Roman"/>
      <w:sz w:val="28"/>
      <w:szCs w:val="28"/>
      <w:lang w:val="pt-PT"/>
    </w:rPr>
  </w:style>
  <w:style w:type="character" w:customStyle="1" w:styleId="Ttulo2Char">
    <w:name w:val="Título 2 Char"/>
    <w:basedOn w:val="Fontepargpadro"/>
    <w:link w:val="Ttulo2"/>
    <w:uiPriority w:val="9"/>
    <w:semiHidden/>
    <w:rsid w:val="00FD7D45"/>
    <w:rPr>
      <w:rFonts w:asciiTheme="majorHAnsi" w:eastAsiaTheme="majorEastAsia" w:hAnsiTheme="majorHAnsi" w:cstheme="majorBidi"/>
      <w:color w:val="2F5496" w:themeColor="accent1" w:themeShade="BF"/>
      <w:sz w:val="26"/>
      <w:szCs w:val="26"/>
      <w:lang w:val="pt-PT"/>
    </w:rPr>
  </w:style>
  <w:style w:type="character" w:customStyle="1" w:styleId="Ttulo3Char">
    <w:name w:val="Título 3 Char"/>
    <w:basedOn w:val="Fontepargpadro"/>
    <w:link w:val="Ttulo3"/>
    <w:uiPriority w:val="9"/>
    <w:semiHidden/>
    <w:rsid w:val="00FD7D45"/>
    <w:rPr>
      <w:rFonts w:asciiTheme="majorHAnsi" w:eastAsiaTheme="majorEastAsia" w:hAnsiTheme="majorHAnsi" w:cstheme="majorBidi"/>
      <w:color w:val="1F3763" w:themeColor="accent1" w:themeShade="7F"/>
      <w:sz w:val="24"/>
      <w:szCs w:val="24"/>
      <w:lang w:val="pt-PT"/>
    </w:rPr>
  </w:style>
  <w:style w:type="table" w:customStyle="1" w:styleId="TableNormal">
    <w:name w:val="Table Normal"/>
    <w:uiPriority w:val="2"/>
    <w:semiHidden/>
    <w:unhideWhenUsed/>
    <w:qFormat/>
    <w:rsid w:val="00FD7D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39"/>
    <w:qFormat/>
    <w:rsid w:val="00FD7D45"/>
    <w:pPr>
      <w:widowControl w:val="0"/>
      <w:autoSpaceDE w:val="0"/>
      <w:autoSpaceDN w:val="0"/>
      <w:spacing w:before="122" w:after="0" w:line="240" w:lineRule="auto"/>
      <w:ind w:left="1102"/>
    </w:pPr>
    <w:rPr>
      <w:rFonts w:ascii="Times New Roman" w:eastAsia="Times New Roman" w:hAnsi="Times New Roman" w:cs="Times New Roman"/>
      <w:sz w:val="24"/>
      <w:szCs w:val="24"/>
      <w:lang w:val="pt-PT"/>
    </w:rPr>
  </w:style>
  <w:style w:type="paragraph" w:styleId="Corpodetexto">
    <w:name w:val="Body Text"/>
    <w:basedOn w:val="Normal"/>
    <w:link w:val="CorpodetextoChar"/>
    <w:uiPriority w:val="1"/>
    <w:qFormat/>
    <w:rsid w:val="00FD7D45"/>
    <w:pPr>
      <w:widowControl w:val="0"/>
      <w:autoSpaceDE w:val="0"/>
      <w:autoSpaceDN w:val="0"/>
      <w:spacing w:after="0" w:line="240" w:lineRule="auto"/>
    </w:pPr>
    <w:rPr>
      <w:rFonts w:ascii="Times New Roman" w:eastAsia="Times New Roman" w:hAnsi="Times New Roman" w:cs="Times New Roman"/>
      <w:sz w:val="24"/>
      <w:szCs w:val="24"/>
      <w:lang w:val="pt-PT"/>
    </w:rPr>
  </w:style>
  <w:style w:type="character" w:customStyle="1" w:styleId="CorpodetextoChar">
    <w:name w:val="Corpo de texto Char"/>
    <w:basedOn w:val="Fontepargpadro"/>
    <w:link w:val="Corpodetexto"/>
    <w:uiPriority w:val="1"/>
    <w:rsid w:val="00FD7D45"/>
    <w:rPr>
      <w:rFonts w:ascii="Times New Roman" w:eastAsia="Times New Roman" w:hAnsi="Times New Roman" w:cs="Times New Roman"/>
      <w:sz w:val="24"/>
      <w:szCs w:val="24"/>
      <w:lang w:val="pt-PT"/>
    </w:rPr>
  </w:style>
  <w:style w:type="paragraph" w:styleId="Ttulo">
    <w:name w:val="Title"/>
    <w:basedOn w:val="Normal"/>
    <w:link w:val="TtuloChar"/>
    <w:uiPriority w:val="1"/>
    <w:qFormat/>
    <w:rsid w:val="00FD7D45"/>
    <w:pPr>
      <w:widowControl w:val="0"/>
      <w:autoSpaceDE w:val="0"/>
      <w:autoSpaceDN w:val="0"/>
      <w:spacing w:after="0" w:line="240" w:lineRule="auto"/>
      <w:ind w:left="885" w:right="1171"/>
      <w:jc w:val="center"/>
    </w:pPr>
    <w:rPr>
      <w:rFonts w:ascii="Calibri Light" w:eastAsia="Calibri Light" w:hAnsi="Calibri Light" w:cs="Calibri Light"/>
      <w:sz w:val="72"/>
      <w:szCs w:val="72"/>
      <w:lang w:val="pt-PT"/>
    </w:rPr>
  </w:style>
  <w:style w:type="character" w:customStyle="1" w:styleId="TtuloChar">
    <w:name w:val="Título Char"/>
    <w:basedOn w:val="Fontepargpadro"/>
    <w:link w:val="Ttulo"/>
    <w:uiPriority w:val="1"/>
    <w:rsid w:val="00FD7D45"/>
    <w:rPr>
      <w:rFonts w:ascii="Calibri Light" w:eastAsia="Calibri Light" w:hAnsi="Calibri Light" w:cs="Calibri Light"/>
      <w:sz w:val="72"/>
      <w:szCs w:val="72"/>
      <w:lang w:val="pt-PT"/>
    </w:rPr>
  </w:style>
  <w:style w:type="paragraph" w:styleId="PargrafodaLista">
    <w:name w:val="List Paragraph"/>
    <w:basedOn w:val="Normal"/>
    <w:uiPriority w:val="34"/>
    <w:qFormat/>
    <w:rsid w:val="00FD7D45"/>
    <w:pPr>
      <w:widowControl w:val="0"/>
      <w:autoSpaceDE w:val="0"/>
      <w:autoSpaceDN w:val="0"/>
      <w:spacing w:after="0" w:line="240" w:lineRule="auto"/>
      <w:ind w:left="1822" w:hanging="360"/>
      <w:jc w:val="both"/>
    </w:pPr>
    <w:rPr>
      <w:rFonts w:ascii="Times New Roman" w:eastAsia="Times New Roman" w:hAnsi="Times New Roman" w:cs="Times New Roman"/>
      <w:lang w:val="pt-PT"/>
    </w:rPr>
  </w:style>
  <w:style w:type="paragraph" w:customStyle="1" w:styleId="TableParagraph">
    <w:name w:val="Table Paragraph"/>
    <w:basedOn w:val="Normal"/>
    <w:uiPriority w:val="1"/>
    <w:qFormat/>
    <w:rsid w:val="00FD7D45"/>
    <w:pPr>
      <w:widowControl w:val="0"/>
      <w:autoSpaceDE w:val="0"/>
      <w:autoSpaceDN w:val="0"/>
      <w:spacing w:after="0" w:line="240" w:lineRule="auto"/>
    </w:pPr>
    <w:rPr>
      <w:rFonts w:ascii="Times New Roman" w:eastAsia="Times New Roman" w:hAnsi="Times New Roman" w:cs="Times New Roman"/>
      <w:lang w:val="pt-PT"/>
    </w:rPr>
  </w:style>
  <w:style w:type="paragraph" w:styleId="Textodenotaderodap">
    <w:name w:val="footnote text"/>
    <w:basedOn w:val="Normal"/>
    <w:link w:val="TextodenotaderodapChar"/>
    <w:uiPriority w:val="99"/>
    <w:unhideWhenUsed/>
    <w:qFormat/>
    <w:rsid w:val="00FD7D45"/>
    <w:pPr>
      <w:widowControl w:val="0"/>
      <w:autoSpaceDE w:val="0"/>
      <w:autoSpaceDN w:val="0"/>
      <w:spacing w:after="0" w:line="240" w:lineRule="auto"/>
    </w:pPr>
    <w:rPr>
      <w:rFonts w:ascii="Times New Roman" w:eastAsia="Times New Roman" w:hAnsi="Times New Roman" w:cs="Times New Roman"/>
      <w:sz w:val="20"/>
      <w:szCs w:val="20"/>
      <w:lang w:val="pt-PT"/>
    </w:rPr>
  </w:style>
  <w:style w:type="character" w:customStyle="1" w:styleId="TextodenotaderodapChar">
    <w:name w:val="Texto de nota de rodapé Char"/>
    <w:basedOn w:val="Fontepargpadro"/>
    <w:link w:val="Textodenotaderodap"/>
    <w:uiPriority w:val="99"/>
    <w:rsid w:val="00FD7D45"/>
    <w:rPr>
      <w:rFonts w:ascii="Times New Roman" w:eastAsia="Times New Roman" w:hAnsi="Times New Roman" w:cs="Times New Roman"/>
      <w:sz w:val="20"/>
      <w:szCs w:val="20"/>
      <w:lang w:val="pt-PT"/>
    </w:rPr>
  </w:style>
  <w:style w:type="character" w:styleId="Refdenotaderodap">
    <w:name w:val="footnote reference"/>
    <w:basedOn w:val="Fontepargpadro"/>
    <w:uiPriority w:val="99"/>
    <w:semiHidden/>
    <w:unhideWhenUsed/>
    <w:qFormat/>
    <w:rsid w:val="00FD7D45"/>
    <w:rPr>
      <w:vertAlign w:val="superscript"/>
    </w:rPr>
  </w:style>
  <w:style w:type="table" w:styleId="TabeladeGradeClara">
    <w:name w:val="Grid Table Light"/>
    <w:basedOn w:val="Tabelanormal"/>
    <w:uiPriority w:val="40"/>
    <w:rsid w:val="00FD7D45"/>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comentrio">
    <w:name w:val="annotation reference"/>
    <w:basedOn w:val="Fontepargpadro"/>
    <w:uiPriority w:val="99"/>
    <w:semiHidden/>
    <w:unhideWhenUsed/>
    <w:rsid w:val="00FD7D45"/>
    <w:rPr>
      <w:sz w:val="16"/>
      <w:szCs w:val="16"/>
    </w:rPr>
  </w:style>
  <w:style w:type="paragraph" w:styleId="Textodecomentrio">
    <w:name w:val="annotation text"/>
    <w:basedOn w:val="Normal"/>
    <w:link w:val="TextodecomentrioChar"/>
    <w:uiPriority w:val="99"/>
    <w:semiHidden/>
    <w:unhideWhenUsed/>
    <w:rsid w:val="00FD7D45"/>
    <w:pPr>
      <w:widowControl w:val="0"/>
      <w:autoSpaceDE w:val="0"/>
      <w:autoSpaceDN w:val="0"/>
      <w:spacing w:after="0" w:line="240" w:lineRule="auto"/>
    </w:pPr>
    <w:rPr>
      <w:rFonts w:ascii="Times New Roman" w:eastAsia="Times New Roman" w:hAnsi="Times New Roman" w:cs="Times New Roman"/>
      <w:sz w:val="20"/>
      <w:szCs w:val="20"/>
      <w:lang w:val="pt-PT"/>
    </w:rPr>
  </w:style>
  <w:style w:type="character" w:customStyle="1" w:styleId="TextodecomentrioChar">
    <w:name w:val="Texto de comentário Char"/>
    <w:basedOn w:val="Fontepargpadro"/>
    <w:link w:val="Textodecomentrio"/>
    <w:uiPriority w:val="99"/>
    <w:semiHidden/>
    <w:rsid w:val="00FD7D45"/>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FD7D45"/>
    <w:rPr>
      <w:b/>
      <w:bCs/>
    </w:rPr>
  </w:style>
  <w:style w:type="character" w:customStyle="1" w:styleId="AssuntodocomentrioChar">
    <w:name w:val="Assunto do comentário Char"/>
    <w:basedOn w:val="TextodecomentrioChar"/>
    <w:link w:val="Assuntodocomentrio"/>
    <w:uiPriority w:val="99"/>
    <w:semiHidden/>
    <w:rsid w:val="00FD7D45"/>
    <w:rPr>
      <w:rFonts w:ascii="Times New Roman" w:eastAsia="Times New Roman" w:hAnsi="Times New Roman" w:cs="Times New Roman"/>
      <w:b/>
      <w:bCs/>
      <w:sz w:val="20"/>
      <w:szCs w:val="20"/>
      <w:lang w:val="pt-PT"/>
    </w:rPr>
  </w:style>
  <w:style w:type="table" w:styleId="TabeladeGrade1Clara-nfase1">
    <w:name w:val="Grid Table 1 Light Accent 1"/>
    <w:basedOn w:val="Tabelanormal"/>
    <w:uiPriority w:val="46"/>
    <w:rsid w:val="00FD7D45"/>
    <w:pPr>
      <w:widowControl w:val="0"/>
      <w:autoSpaceDE w:val="0"/>
      <w:autoSpaceDN w:val="0"/>
      <w:spacing w:after="0" w:line="240" w:lineRule="auto"/>
    </w:pPr>
    <w:rPr>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deGrade4-nfase62">
    <w:name w:val="Tabela de Grade 4 - Ênfase 62"/>
    <w:basedOn w:val="Tabelanormal"/>
    <w:next w:val="Tabelanormal"/>
    <w:uiPriority w:val="49"/>
    <w:rsid w:val="00FD7D45"/>
    <w:pPr>
      <w:spacing w:after="0" w:line="240" w:lineRule="auto"/>
    </w:pPr>
    <w:rPr>
      <w:rFonts w:eastAsia="Times New Roman"/>
      <w:lang w:eastAsia="pt-B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TabeladeGrade4-nfase1">
    <w:name w:val="Grid Table 4 Accent 1"/>
    <w:basedOn w:val="Tabelanormal"/>
    <w:uiPriority w:val="49"/>
    <w:rsid w:val="00FD7D45"/>
    <w:pPr>
      <w:widowControl w:val="0"/>
      <w:autoSpaceDE w:val="0"/>
      <w:autoSpaceDN w:val="0"/>
      <w:spacing w:after="0" w:line="240" w:lineRule="auto"/>
    </w:pPr>
    <w:rPr>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egenda">
    <w:name w:val="caption"/>
    <w:basedOn w:val="Normal"/>
    <w:next w:val="Normal"/>
    <w:uiPriority w:val="99"/>
    <w:unhideWhenUsed/>
    <w:rsid w:val="00FD7D45"/>
    <w:pPr>
      <w:spacing w:after="200" w:line="240" w:lineRule="auto"/>
      <w:jc w:val="right"/>
    </w:pPr>
    <w:rPr>
      <w:rFonts w:eastAsiaTheme="minorEastAsia"/>
      <w:b/>
      <w:bCs/>
      <w:color w:val="2F5496" w:themeColor="accent1" w:themeShade="BF"/>
      <w:sz w:val="16"/>
      <w:szCs w:val="16"/>
    </w:rPr>
  </w:style>
  <w:style w:type="table" w:styleId="Tabelacomgrade">
    <w:name w:val="Table Grid"/>
    <w:basedOn w:val="Tabelanormal"/>
    <w:uiPriority w:val="39"/>
    <w:rsid w:val="00FD7D4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FD7D45"/>
    <w:pPr>
      <w:keepNext/>
      <w:keepLines/>
      <w:widowControl/>
      <w:autoSpaceDE/>
      <w:autoSpaceDN/>
      <w:spacing w:before="240" w:line="259" w:lineRule="auto"/>
      <w:ind w:left="0"/>
      <w:outlineLvl w:val="9"/>
    </w:pPr>
    <w:rPr>
      <w:rFonts w:asciiTheme="majorHAnsi" w:eastAsiaTheme="majorEastAsia" w:hAnsiTheme="majorHAnsi" w:cstheme="majorBidi"/>
      <w:color w:val="2F5496" w:themeColor="accent1" w:themeShade="BF"/>
      <w:sz w:val="32"/>
      <w:szCs w:val="32"/>
      <w:lang w:val="pt-BR" w:eastAsia="pt-BR"/>
    </w:rPr>
  </w:style>
  <w:style w:type="paragraph" w:styleId="Sumrio2">
    <w:name w:val="toc 2"/>
    <w:basedOn w:val="Normal"/>
    <w:next w:val="Normal"/>
    <w:autoRedefine/>
    <w:uiPriority w:val="39"/>
    <w:unhideWhenUsed/>
    <w:rsid w:val="00FD7D45"/>
    <w:pPr>
      <w:spacing w:after="100"/>
      <w:ind w:left="220"/>
    </w:pPr>
    <w:rPr>
      <w:rFonts w:eastAsiaTheme="minorEastAsia" w:cs="Times New Roman"/>
      <w:lang w:eastAsia="pt-BR"/>
    </w:rPr>
  </w:style>
  <w:style w:type="paragraph" w:styleId="Sumrio3">
    <w:name w:val="toc 3"/>
    <w:basedOn w:val="Normal"/>
    <w:next w:val="Normal"/>
    <w:autoRedefine/>
    <w:uiPriority w:val="39"/>
    <w:unhideWhenUsed/>
    <w:rsid w:val="00FD7D45"/>
    <w:pPr>
      <w:spacing w:after="100"/>
      <w:ind w:left="440"/>
    </w:pPr>
    <w:rPr>
      <w:rFonts w:eastAsiaTheme="minorEastAsia" w:cs="Times New Roman"/>
      <w:lang w:eastAsia="pt-BR"/>
    </w:rPr>
  </w:style>
  <w:style w:type="character" w:styleId="Hyperlink">
    <w:name w:val="Hyperlink"/>
    <w:basedOn w:val="Fontepargpadro"/>
    <w:uiPriority w:val="99"/>
    <w:unhideWhenUsed/>
    <w:qFormat/>
    <w:rsid w:val="00FD7D45"/>
    <w:rPr>
      <w:color w:val="0563C1" w:themeColor="hyperlink"/>
      <w:u w:val="single"/>
    </w:rPr>
  </w:style>
  <w:style w:type="paragraph" w:styleId="SemEspaamento">
    <w:name w:val="No Spacing"/>
    <w:link w:val="SemEspaamentoChar"/>
    <w:uiPriority w:val="1"/>
    <w:qFormat/>
    <w:rsid w:val="00FD7D45"/>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FD7D45"/>
    <w:rPr>
      <w:rFonts w:eastAsiaTheme="minorEastAsia"/>
      <w:lang w:eastAsia="pt-BR"/>
    </w:rPr>
  </w:style>
  <w:style w:type="numbering" w:customStyle="1" w:styleId="Estilo4">
    <w:name w:val="Estilo4"/>
    <w:uiPriority w:val="99"/>
    <w:rsid w:val="00FD7D45"/>
    <w:pPr>
      <w:numPr>
        <w:numId w:val="3"/>
      </w:numPr>
    </w:pPr>
  </w:style>
  <w:style w:type="table" w:styleId="TabeladeGrade5Escura-nfase2">
    <w:name w:val="Grid Table 5 Dark Accent 2"/>
    <w:basedOn w:val="Tabelanormal"/>
    <w:uiPriority w:val="50"/>
    <w:rsid w:val="00FD7D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deGrade4-nfase2">
    <w:name w:val="Grid Table 4 Accent 2"/>
    <w:basedOn w:val="Tabelanormal"/>
    <w:uiPriority w:val="49"/>
    <w:rsid w:val="00FD7D4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Forte">
    <w:name w:val="Strong"/>
    <w:basedOn w:val="Fontepargpadro"/>
    <w:uiPriority w:val="22"/>
    <w:qFormat/>
    <w:rsid w:val="00FD7D45"/>
    <w:rPr>
      <w:b/>
      <w:bCs/>
    </w:rPr>
  </w:style>
  <w:style w:type="paragraph" w:customStyle="1" w:styleId="Default">
    <w:name w:val="Default"/>
    <w:rsid w:val="00FD7D45"/>
    <w:pPr>
      <w:autoSpaceDE w:val="0"/>
      <w:autoSpaceDN w:val="0"/>
      <w:adjustRightInd w:val="0"/>
      <w:spacing w:after="0" w:line="240" w:lineRule="auto"/>
    </w:pPr>
    <w:rPr>
      <w:rFonts w:ascii="___WRD_EMBED_SUB_41" w:hAnsi="___WRD_EMBED_SUB_41" w:cs="___WRD_EMBED_SUB_41"/>
      <w:color w:val="000000"/>
      <w:sz w:val="24"/>
      <w:szCs w:val="24"/>
    </w:rPr>
  </w:style>
  <w:style w:type="table" w:styleId="TabeladeGrade1Clara">
    <w:name w:val="Grid Table 1 Light"/>
    <w:basedOn w:val="Tabelanormal"/>
    <w:uiPriority w:val="46"/>
    <w:rsid w:val="00FD7D4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TextodoEspaoReservado">
    <w:name w:val="Placeholder Text"/>
    <w:basedOn w:val="Fontepargpadro"/>
    <w:uiPriority w:val="99"/>
    <w:semiHidden/>
    <w:rsid w:val="00FD7D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44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diagramData" Target="diagrams/data3.xml"/><Relationship Id="rId42" Type="http://schemas.openxmlformats.org/officeDocument/2006/relationships/image" Target="media/image12.emf"/><Relationship Id="rId47" Type="http://schemas.openxmlformats.org/officeDocument/2006/relationships/diagramQuickStyle" Target="diagrams/quickStyle6.xml"/><Relationship Id="rId63" Type="http://schemas.openxmlformats.org/officeDocument/2006/relationships/diagramData" Target="diagrams/data8.xml"/><Relationship Id="rId68" Type="http://schemas.openxmlformats.org/officeDocument/2006/relationships/image" Target="media/image19.emf"/><Relationship Id="rId16" Type="http://schemas.openxmlformats.org/officeDocument/2006/relationships/diagramData" Target="diagrams/data2.xml"/><Relationship Id="rId11" Type="http://schemas.openxmlformats.org/officeDocument/2006/relationships/diagramLayout" Target="diagrams/layout1.xml"/><Relationship Id="rId32" Type="http://schemas.openxmlformats.org/officeDocument/2006/relationships/diagramLayout" Target="diagrams/layout4.xml"/><Relationship Id="rId37" Type="http://schemas.openxmlformats.org/officeDocument/2006/relationships/diagramData" Target="diagrams/data5.xml"/><Relationship Id="rId53" Type="http://schemas.openxmlformats.org/officeDocument/2006/relationships/image" Target="media/image18.emf"/><Relationship Id="rId58" Type="http://schemas.openxmlformats.org/officeDocument/2006/relationships/diagramData" Target="diagrams/data7.xml"/><Relationship Id="rId74" Type="http://schemas.microsoft.com/office/2007/relationships/diagramDrawing" Target="diagrams/drawing9.xm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diagramColors" Target="diagrams/colors7.xml"/><Relationship Id="rId82" Type="http://schemas.openxmlformats.org/officeDocument/2006/relationships/theme" Target="theme/theme1.xml"/><Relationship Id="rId19" Type="http://schemas.openxmlformats.org/officeDocument/2006/relationships/diagramColors" Target="diagrams/colors2.xml"/><Relationship Id="rId14" Type="http://schemas.microsoft.com/office/2007/relationships/diagramDrawing" Target="diagrams/drawing1.xml"/><Relationship Id="rId22" Type="http://schemas.openxmlformats.org/officeDocument/2006/relationships/diagramLayout" Target="diagrams/layout3.xml"/><Relationship Id="rId27" Type="http://schemas.openxmlformats.org/officeDocument/2006/relationships/image" Target="media/image7.emf"/><Relationship Id="rId30" Type="http://schemas.openxmlformats.org/officeDocument/2006/relationships/image" Target="media/image10.emf"/><Relationship Id="rId35" Type="http://schemas.microsoft.com/office/2007/relationships/diagramDrawing" Target="diagrams/drawing4.xml"/><Relationship Id="rId43" Type="http://schemas.openxmlformats.org/officeDocument/2006/relationships/image" Target="media/image13.emf"/><Relationship Id="rId48" Type="http://schemas.openxmlformats.org/officeDocument/2006/relationships/diagramColors" Target="diagrams/colors6.xml"/><Relationship Id="rId56" Type="http://schemas.openxmlformats.org/officeDocument/2006/relationships/hyperlink" Target="https://portal.tcu.gov.br/planejamento-governanca-e-gestao/gestao-de-riscos/manual-de-gestao-de-riscos/" TargetMode="External"/><Relationship Id="rId64" Type="http://schemas.openxmlformats.org/officeDocument/2006/relationships/diagramLayout" Target="diagrams/layout8.xml"/><Relationship Id="rId69" Type="http://schemas.openxmlformats.org/officeDocument/2006/relationships/image" Target="media/image20.emf"/><Relationship Id="rId77" Type="http://schemas.openxmlformats.org/officeDocument/2006/relationships/hyperlink" Target="http://www.cgu.gov.br/Publicacoes/institucionais/arquivos/cgu-metodologia-gestao-riscos-2018.pdf" TargetMode="External"/><Relationship Id="rId8" Type="http://schemas.openxmlformats.org/officeDocument/2006/relationships/image" Target="media/image1.png"/><Relationship Id="rId51" Type="http://schemas.openxmlformats.org/officeDocument/2006/relationships/image" Target="media/image16.emf"/><Relationship Id="rId72" Type="http://schemas.openxmlformats.org/officeDocument/2006/relationships/diagramQuickStyle" Target="diagrams/quickStyle9.xm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4.xml"/><Relationship Id="rId38" Type="http://schemas.openxmlformats.org/officeDocument/2006/relationships/diagramLayout" Target="diagrams/layout5.xml"/><Relationship Id="rId46" Type="http://schemas.openxmlformats.org/officeDocument/2006/relationships/diagramLayout" Target="diagrams/layout6.xml"/><Relationship Id="rId59" Type="http://schemas.openxmlformats.org/officeDocument/2006/relationships/diagramLayout" Target="diagrams/layout7.xml"/><Relationship Id="rId67" Type="http://schemas.microsoft.com/office/2007/relationships/diagramDrawing" Target="diagrams/drawing8.xml"/><Relationship Id="rId20" Type="http://schemas.microsoft.com/office/2007/relationships/diagramDrawing" Target="diagrams/drawing2.xml"/><Relationship Id="rId41" Type="http://schemas.microsoft.com/office/2007/relationships/diagramDrawing" Target="diagrams/drawing5.xml"/><Relationship Id="rId54" Type="http://schemas.openxmlformats.org/officeDocument/2006/relationships/hyperlink" Target="http://www.cgu.gov.br/Publicacoes/institucionais/arquivos/cgu-metodologia-gestao-riscos-2018.pdf" TargetMode="External"/><Relationship Id="rId62" Type="http://schemas.microsoft.com/office/2007/relationships/diagramDrawing" Target="diagrams/drawing7.xml"/><Relationship Id="rId70" Type="http://schemas.openxmlformats.org/officeDocument/2006/relationships/diagramData" Target="diagrams/data9.xml"/><Relationship Id="rId75"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diagramQuickStyle" Target="diagrams/quickStyle3.xml"/><Relationship Id="rId28" Type="http://schemas.openxmlformats.org/officeDocument/2006/relationships/image" Target="media/image8.emf"/><Relationship Id="rId36" Type="http://schemas.openxmlformats.org/officeDocument/2006/relationships/image" Target="media/image11.emf"/><Relationship Id="rId49" Type="http://schemas.microsoft.com/office/2007/relationships/diagramDrawing" Target="diagrams/drawing6.xml"/><Relationship Id="rId57" Type="http://schemas.openxmlformats.org/officeDocument/2006/relationships/hyperlink" Target="https://portal.tcu.gov.br/planejamento-governanca-e-gestao/gestao-de-riscos/manual-de-gestao-de-riscos/" TargetMode="External"/><Relationship Id="rId10" Type="http://schemas.openxmlformats.org/officeDocument/2006/relationships/diagramData" Target="diagrams/data1.xml"/><Relationship Id="rId31" Type="http://schemas.openxmlformats.org/officeDocument/2006/relationships/diagramData" Target="diagrams/data4.xml"/><Relationship Id="rId44" Type="http://schemas.openxmlformats.org/officeDocument/2006/relationships/image" Target="media/image14.emf"/><Relationship Id="rId52" Type="http://schemas.openxmlformats.org/officeDocument/2006/relationships/image" Target="media/image17.emf"/><Relationship Id="rId60" Type="http://schemas.openxmlformats.org/officeDocument/2006/relationships/diagramQuickStyle" Target="diagrams/quickStyle7.xml"/><Relationship Id="rId65" Type="http://schemas.openxmlformats.org/officeDocument/2006/relationships/diagramQuickStyle" Target="diagrams/quickStyle8.xml"/><Relationship Id="rId73" Type="http://schemas.openxmlformats.org/officeDocument/2006/relationships/diagramColors" Target="diagrams/colors9.xml"/><Relationship Id="rId78" Type="http://schemas.openxmlformats.org/officeDocument/2006/relationships/hyperlink" Target="http://www.cgu.gov.br/Publicacoes/institucionais/arquivos/cgu-metodologia-gestao-riscos-2018.pdf"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diagramQuickStyle" Target="diagrams/quickStyle2.xml"/><Relationship Id="rId39" Type="http://schemas.openxmlformats.org/officeDocument/2006/relationships/diagramQuickStyle" Target="diagrams/quickStyle5.xml"/><Relationship Id="rId34" Type="http://schemas.openxmlformats.org/officeDocument/2006/relationships/diagramColors" Target="diagrams/colors4.xml"/><Relationship Id="rId50" Type="http://schemas.openxmlformats.org/officeDocument/2006/relationships/image" Target="media/image15.emf"/><Relationship Id="rId55" Type="http://schemas.openxmlformats.org/officeDocument/2006/relationships/hyperlink" Target="http://www.cgu.gov.br/Publicacoes/institucionais/arquivos/cgu-metodologia-gestao-riscos-2018.pdf" TargetMode="External"/><Relationship Id="rId76" Type="http://schemas.openxmlformats.org/officeDocument/2006/relationships/hyperlink" Target="http://bpmsg.com" TargetMode="External"/><Relationship Id="rId7" Type="http://schemas.openxmlformats.org/officeDocument/2006/relationships/endnotes" Target="endnotes.xml"/><Relationship Id="rId71" Type="http://schemas.openxmlformats.org/officeDocument/2006/relationships/diagramLayout" Target="diagrams/layout9.xml"/><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diagramColors" Target="diagrams/colors3.xml"/><Relationship Id="rId40" Type="http://schemas.openxmlformats.org/officeDocument/2006/relationships/diagramColors" Target="diagrams/colors5.xml"/><Relationship Id="rId45" Type="http://schemas.openxmlformats.org/officeDocument/2006/relationships/diagramData" Target="diagrams/data6.xml"/><Relationship Id="rId66" Type="http://schemas.openxmlformats.org/officeDocument/2006/relationships/diagramColors" Target="diagrams/colors8.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diagrams/_rels/data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31B8E3-4E66-4175-BED9-F54ED6C32FDA}" type="doc">
      <dgm:prSet loTypeId="urn:microsoft.com/office/officeart/2005/8/layout/bProcess3" loCatId="process" qsTypeId="urn:microsoft.com/office/officeart/2005/8/quickstyle/simple1" qsCatId="simple" csTypeId="urn:microsoft.com/office/officeart/2005/8/colors/accent1_3" csCatId="accent1" phldr="1"/>
      <dgm:spPr/>
      <dgm:t>
        <a:bodyPr/>
        <a:lstStyle/>
        <a:p>
          <a:endParaRPr lang="pt-BR"/>
        </a:p>
      </dgm:t>
    </dgm:pt>
    <dgm:pt modelId="{0F7114A9-004F-44C1-8CDA-BE132780AB52}">
      <dgm:prSet phldrT="[Texto]"/>
      <dgm:spPr/>
      <dgm:t>
        <a:bodyPr/>
        <a:lstStyle/>
        <a:p>
          <a:r>
            <a:rPr lang="pt-BR"/>
            <a:t>Gerenciar riscos corporativos ao executar uma estratégia</a:t>
          </a:r>
        </a:p>
      </dgm:t>
    </dgm:pt>
    <dgm:pt modelId="{67B893C1-EFCD-48DE-B8D7-2BCE72799046}" type="parTrans" cxnId="{0556DD0B-5E6A-44FC-B040-6374FA1678FB}">
      <dgm:prSet/>
      <dgm:spPr/>
      <dgm:t>
        <a:bodyPr/>
        <a:lstStyle/>
        <a:p>
          <a:endParaRPr lang="pt-BR"/>
        </a:p>
      </dgm:t>
    </dgm:pt>
    <dgm:pt modelId="{720B5242-6F31-4C56-A547-F843539E35BC}" type="sibTrans" cxnId="{0556DD0B-5E6A-44FC-B040-6374FA1678FB}">
      <dgm:prSet/>
      <dgm:spPr/>
      <dgm:t>
        <a:bodyPr/>
        <a:lstStyle/>
        <a:p>
          <a:endParaRPr lang="pt-BR"/>
        </a:p>
      </dgm:t>
    </dgm:pt>
    <dgm:pt modelId="{5EBB9351-2E44-4EC6-B7E1-017AB8BAB25C}">
      <dgm:prSet phldrT="[Texto]"/>
      <dgm:spPr/>
      <dgm:t>
        <a:bodyPr/>
        <a:lstStyle/>
        <a:p>
          <a:r>
            <a:rPr lang="pt-BR"/>
            <a:t>Gerenciar riscos com objetivo de aperfeiçoar a definição de metas e entendimento do impacto sobre a performace</a:t>
          </a:r>
        </a:p>
      </dgm:t>
    </dgm:pt>
    <dgm:pt modelId="{3A835E67-CEBD-400F-95A9-484936ECC28F}" type="parTrans" cxnId="{DF26EAE8-3C87-4E0E-8B20-1FFC8E471162}">
      <dgm:prSet/>
      <dgm:spPr/>
      <dgm:t>
        <a:bodyPr/>
        <a:lstStyle/>
        <a:p>
          <a:endParaRPr lang="pt-BR"/>
        </a:p>
      </dgm:t>
    </dgm:pt>
    <dgm:pt modelId="{9BDBE75A-8FF3-43A0-8880-832503DCEF98}" type="sibTrans" cxnId="{DF26EAE8-3C87-4E0E-8B20-1FFC8E471162}">
      <dgm:prSet/>
      <dgm:spPr/>
      <dgm:t>
        <a:bodyPr/>
        <a:lstStyle/>
        <a:p>
          <a:endParaRPr lang="pt-BR"/>
        </a:p>
      </dgm:t>
    </dgm:pt>
    <dgm:pt modelId="{AAC4CE08-8503-4BF6-9C9A-DDA9C1EABEE4}">
      <dgm:prSet phldrT="[Texto]"/>
      <dgm:spPr/>
      <dgm:t>
        <a:bodyPr/>
        <a:lstStyle/>
        <a:p>
          <a:r>
            <a:rPr lang="pt-BR"/>
            <a:t>Contemplar a expectativa relativas à governança e supervisão</a:t>
          </a:r>
        </a:p>
      </dgm:t>
    </dgm:pt>
    <dgm:pt modelId="{F329E443-6269-4EBB-9129-13174A8EF8FF}" type="parTrans" cxnId="{3D8B29BE-61D8-414A-BDCD-6B6304956EDB}">
      <dgm:prSet/>
      <dgm:spPr/>
      <dgm:t>
        <a:bodyPr/>
        <a:lstStyle/>
        <a:p>
          <a:endParaRPr lang="pt-BR"/>
        </a:p>
      </dgm:t>
    </dgm:pt>
    <dgm:pt modelId="{1C5A721C-CDC7-4F74-B88C-2BF048B9E9E4}" type="sibTrans" cxnId="{3D8B29BE-61D8-414A-BDCD-6B6304956EDB}">
      <dgm:prSet/>
      <dgm:spPr/>
      <dgm:t>
        <a:bodyPr/>
        <a:lstStyle/>
        <a:p>
          <a:endParaRPr lang="pt-BR"/>
        </a:p>
      </dgm:t>
    </dgm:pt>
    <dgm:pt modelId="{10F38E99-3970-4D39-90D6-7A371ED2E097}">
      <dgm:prSet phldrT="[Texto]"/>
      <dgm:spPr/>
      <dgm:t>
        <a:bodyPr/>
        <a:lstStyle/>
        <a:p>
          <a:r>
            <a:rPr lang="pt-BR"/>
            <a:t>Reconhecer a globalização</a:t>
          </a:r>
        </a:p>
      </dgm:t>
    </dgm:pt>
    <dgm:pt modelId="{24C326E1-BE41-443C-809B-37A6BCDE938D}" type="parTrans" cxnId="{2AC525E9-D8C5-4DD6-866E-8C8B21251415}">
      <dgm:prSet/>
      <dgm:spPr/>
      <dgm:t>
        <a:bodyPr/>
        <a:lstStyle/>
        <a:p>
          <a:endParaRPr lang="pt-BR"/>
        </a:p>
      </dgm:t>
    </dgm:pt>
    <dgm:pt modelId="{365052AE-2051-43BF-911D-CC7A6D5FF4DC}" type="sibTrans" cxnId="{2AC525E9-D8C5-4DD6-866E-8C8B21251415}">
      <dgm:prSet/>
      <dgm:spPr/>
      <dgm:t>
        <a:bodyPr/>
        <a:lstStyle/>
        <a:p>
          <a:endParaRPr lang="pt-BR"/>
        </a:p>
      </dgm:t>
    </dgm:pt>
    <dgm:pt modelId="{2CF72E21-CB50-4223-90F2-2D79728D503C}">
      <dgm:prSet phldrT="[Texto]"/>
      <dgm:spPr/>
      <dgm:t>
        <a:bodyPr/>
        <a:lstStyle/>
        <a:p>
          <a:r>
            <a:rPr lang="pt-BR"/>
            <a:t>Interpretar os riscos ao definir e atingir os objetivos institucionais</a:t>
          </a:r>
        </a:p>
      </dgm:t>
    </dgm:pt>
    <dgm:pt modelId="{017B8654-B0D6-430A-BEBC-0112B3E6446F}" type="parTrans" cxnId="{9FA61B56-48A5-41AB-B65B-0410BD845C7D}">
      <dgm:prSet/>
      <dgm:spPr/>
      <dgm:t>
        <a:bodyPr/>
        <a:lstStyle/>
        <a:p>
          <a:endParaRPr lang="pt-BR"/>
        </a:p>
      </dgm:t>
    </dgm:pt>
    <dgm:pt modelId="{9CF0FB1A-A879-456B-8755-59BC872B48F2}" type="sibTrans" cxnId="{9FA61B56-48A5-41AB-B65B-0410BD845C7D}">
      <dgm:prSet/>
      <dgm:spPr/>
      <dgm:t>
        <a:bodyPr/>
        <a:lstStyle/>
        <a:p>
          <a:endParaRPr lang="pt-BR"/>
        </a:p>
      </dgm:t>
    </dgm:pt>
    <dgm:pt modelId="{6FC6D088-ECC4-48CD-B850-370DF9B90F8D}">
      <dgm:prSet phldrT="[Texto]"/>
      <dgm:spPr/>
      <dgm:t>
        <a:bodyPr/>
        <a:lstStyle/>
        <a:p>
          <a:r>
            <a:rPr lang="pt-BR"/>
            <a:t>Ampliar a transparência</a:t>
          </a:r>
        </a:p>
      </dgm:t>
    </dgm:pt>
    <dgm:pt modelId="{FE1A4AB3-481E-46C7-876A-0E16A838932D}" type="parTrans" cxnId="{0AA06233-1F79-4C66-84F2-78CCBC2D2F25}">
      <dgm:prSet/>
      <dgm:spPr/>
      <dgm:t>
        <a:bodyPr/>
        <a:lstStyle/>
        <a:p>
          <a:endParaRPr lang="pt-BR"/>
        </a:p>
      </dgm:t>
    </dgm:pt>
    <dgm:pt modelId="{BB21E90C-293E-4859-9E50-1285964EDB27}" type="sibTrans" cxnId="{0AA06233-1F79-4C66-84F2-78CCBC2D2F25}">
      <dgm:prSet/>
      <dgm:spPr/>
      <dgm:t>
        <a:bodyPr/>
        <a:lstStyle/>
        <a:p>
          <a:endParaRPr lang="pt-BR"/>
        </a:p>
      </dgm:t>
    </dgm:pt>
    <dgm:pt modelId="{800CEB31-576A-4E3B-97C2-7EEC2B26CD4F}">
      <dgm:prSet phldrT="[Texto]"/>
      <dgm:spPr/>
      <dgm:t>
        <a:bodyPr/>
        <a:lstStyle/>
        <a:p>
          <a:r>
            <a:rPr lang="pt-BR"/>
            <a:t>Incluir tecnologias evolutivas que suportam a tomada de decisões</a:t>
          </a:r>
        </a:p>
      </dgm:t>
    </dgm:pt>
    <dgm:pt modelId="{8BAA35B4-0977-4593-BAC8-E2FECE375962}" type="parTrans" cxnId="{04575C55-AB40-4871-AB3E-9FD2A9988E6D}">
      <dgm:prSet/>
      <dgm:spPr/>
      <dgm:t>
        <a:bodyPr/>
        <a:lstStyle/>
        <a:p>
          <a:endParaRPr lang="pt-BR"/>
        </a:p>
      </dgm:t>
    </dgm:pt>
    <dgm:pt modelId="{16AA8B0C-3B8C-4A67-A506-F6BD396B9404}" type="sibTrans" cxnId="{04575C55-AB40-4871-AB3E-9FD2A9988E6D}">
      <dgm:prSet/>
      <dgm:spPr/>
      <dgm:t>
        <a:bodyPr/>
        <a:lstStyle/>
        <a:p>
          <a:endParaRPr lang="pt-BR"/>
        </a:p>
      </dgm:t>
    </dgm:pt>
    <dgm:pt modelId="{35091B01-CD7A-4D1A-9982-A0549F2DC106}">
      <dgm:prSet phldrT="[Texto]"/>
      <dgm:spPr/>
      <dgm:t>
        <a:bodyPr/>
        <a:lstStyle/>
        <a:p>
          <a:r>
            <a:rPr lang="pt-BR"/>
            <a:t>Estabelecer estrutura para implementação, excecusão das práticas de gerenciamento de riscos</a:t>
          </a:r>
        </a:p>
      </dgm:t>
    </dgm:pt>
    <dgm:pt modelId="{1EFDC2C8-3A02-4F43-AFCE-8E69D0BA954F}" type="parTrans" cxnId="{7CF4D0B0-ED53-48ED-A26F-49198196FBFB}">
      <dgm:prSet/>
      <dgm:spPr/>
      <dgm:t>
        <a:bodyPr/>
        <a:lstStyle/>
        <a:p>
          <a:endParaRPr lang="pt-BR"/>
        </a:p>
      </dgm:t>
    </dgm:pt>
    <dgm:pt modelId="{32039B2D-49C2-454F-8C39-F7913EB1546B}" type="sibTrans" cxnId="{7CF4D0B0-ED53-48ED-A26F-49198196FBFB}">
      <dgm:prSet/>
      <dgm:spPr/>
      <dgm:t>
        <a:bodyPr/>
        <a:lstStyle/>
        <a:p>
          <a:endParaRPr lang="pt-BR"/>
        </a:p>
      </dgm:t>
    </dgm:pt>
    <dgm:pt modelId="{FB46DE0E-B1ED-4DA1-A216-09EA4E0136ED}" type="pres">
      <dgm:prSet presAssocID="{E531B8E3-4E66-4175-BED9-F54ED6C32FDA}" presName="Name0" presStyleCnt="0">
        <dgm:presLayoutVars>
          <dgm:dir/>
          <dgm:resizeHandles val="exact"/>
        </dgm:presLayoutVars>
      </dgm:prSet>
      <dgm:spPr/>
    </dgm:pt>
    <dgm:pt modelId="{0D249F6F-FAA7-4E9B-AAB8-B542131049DB}" type="pres">
      <dgm:prSet presAssocID="{0F7114A9-004F-44C1-8CDA-BE132780AB52}" presName="node" presStyleLbl="node1" presStyleIdx="0" presStyleCnt="8">
        <dgm:presLayoutVars>
          <dgm:bulletEnabled val="1"/>
        </dgm:presLayoutVars>
      </dgm:prSet>
      <dgm:spPr/>
    </dgm:pt>
    <dgm:pt modelId="{7C46F350-8EF1-47C3-B333-5D8A34F25CDA}" type="pres">
      <dgm:prSet presAssocID="{720B5242-6F31-4C56-A547-F843539E35BC}" presName="sibTrans" presStyleLbl="sibTrans1D1" presStyleIdx="0" presStyleCnt="7"/>
      <dgm:spPr/>
    </dgm:pt>
    <dgm:pt modelId="{6D7A94B8-0E22-46C0-8F60-ADCB53C9498D}" type="pres">
      <dgm:prSet presAssocID="{720B5242-6F31-4C56-A547-F843539E35BC}" presName="connectorText" presStyleLbl="sibTrans1D1" presStyleIdx="0" presStyleCnt="7"/>
      <dgm:spPr/>
    </dgm:pt>
    <dgm:pt modelId="{7786569B-1222-423C-9582-D21714BE6108}" type="pres">
      <dgm:prSet presAssocID="{5EBB9351-2E44-4EC6-B7E1-017AB8BAB25C}" presName="node" presStyleLbl="node1" presStyleIdx="1" presStyleCnt="8">
        <dgm:presLayoutVars>
          <dgm:bulletEnabled val="1"/>
        </dgm:presLayoutVars>
      </dgm:prSet>
      <dgm:spPr/>
    </dgm:pt>
    <dgm:pt modelId="{61BA72DE-C70C-412A-BADC-D781DBA3ECCA}" type="pres">
      <dgm:prSet presAssocID="{9BDBE75A-8FF3-43A0-8880-832503DCEF98}" presName="sibTrans" presStyleLbl="sibTrans1D1" presStyleIdx="1" presStyleCnt="7"/>
      <dgm:spPr/>
    </dgm:pt>
    <dgm:pt modelId="{A591375E-3CC0-409C-97F0-C6DCD8ACF55F}" type="pres">
      <dgm:prSet presAssocID="{9BDBE75A-8FF3-43A0-8880-832503DCEF98}" presName="connectorText" presStyleLbl="sibTrans1D1" presStyleIdx="1" presStyleCnt="7"/>
      <dgm:spPr/>
    </dgm:pt>
    <dgm:pt modelId="{36340D43-D41B-495E-9D95-632029C2FA3E}" type="pres">
      <dgm:prSet presAssocID="{AAC4CE08-8503-4BF6-9C9A-DDA9C1EABEE4}" presName="node" presStyleLbl="node1" presStyleIdx="2" presStyleCnt="8">
        <dgm:presLayoutVars>
          <dgm:bulletEnabled val="1"/>
        </dgm:presLayoutVars>
      </dgm:prSet>
      <dgm:spPr/>
    </dgm:pt>
    <dgm:pt modelId="{5DB13E46-626D-47ED-9F97-695CEF6C796F}" type="pres">
      <dgm:prSet presAssocID="{1C5A721C-CDC7-4F74-B88C-2BF048B9E9E4}" presName="sibTrans" presStyleLbl="sibTrans1D1" presStyleIdx="2" presStyleCnt="7"/>
      <dgm:spPr/>
    </dgm:pt>
    <dgm:pt modelId="{530ACBC5-46AF-47D8-B9D7-873B36FD8737}" type="pres">
      <dgm:prSet presAssocID="{1C5A721C-CDC7-4F74-B88C-2BF048B9E9E4}" presName="connectorText" presStyleLbl="sibTrans1D1" presStyleIdx="2" presStyleCnt="7"/>
      <dgm:spPr/>
    </dgm:pt>
    <dgm:pt modelId="{D0D8FE37-1250-45D7-A615-1796540C23E6}" type="pres">
      <dgm:prSet presAssocID="{10F38E99-3970-4D39-90D6-7A371ED2E097}" presName="node" presStyleLbl="node1" presStyleIdx="3" presStyleCnt="8">
        <dgm:presLayoutVars>
          <dgm:bulletEnabled val="1"/>
        </dgm:presLayoutVars>
      </dgm:prSet>
      <dgm:spPr/>
    </dgm:pt>
    <dgm:pt modelId="{92F0E6A6-000C-4443-AC74-B7000117640A}" type="pres">
      <dgm:prSet presAssocID="{365052AE-2051-43BF-911D-CC7A6D5FF4DC}" presName="sibTrans" presStyleLbl="sibTrans1D1" presStyleIdx="3" presStyleCnt="7"/>
      <dgm:spPr/>
    </dgm:pt>
    <dgm:pt modelId="{01AFD7BA-8C52-4107-91C7-6E600B3D4961}" type="pres">
      <dgm:prSet presAssocID="{365052AE-2051-43BF-911D-CC7A6D5FF4DC}" presName="connectorText" presStyleLbl="sibTrans1D1" presStyleIdx="3" presStyleCnt="7"/>
      <dgm:spPr/>
    </dgm:pt>
    <dgm:pt modelId="{A0BF09DB-CB98-4EA2-BF1F-73EFC9758586}" type="pres">
      <dgm:prSet presAssocID="{2CF72E21-CB50-4223-90F2-2D79728D503C}" presName="node" presStyleLbl="node1" presStyleIdx="4" presStyleCnt="8">
        <dgm:presLayoutVars>
          <dgm:bulletEnabled val="1"/>
        </dgm:presLayoutVars>
      </dgm:prSet>
      <dgm:spPr/>
    </dgm:pt>
    <dgm:pt modelId="{858666E0-8070-4EA9-9032-2B03F0466DD6}" type="pres">
      <dgm:prSet presAssocID="{9CF0FB1A-A879-456B-8755-59BC872B48F2}" presName="sibTrans" presStyleLbl="sibTrans1D1" presStyleIdx="4" presStyleCnt="7"/>
      <dgm:spPr/>
    </dgm:pt>
    <dgm:pt modelId="{F2B30EF2-FEF1-4CD0-BBC7-B9FD51B57ACA}" type="pres">
      <dgm:prSet presAssocID="{9CF0FB1A-A879-456B-8755-59BC872B48F2}" presName="connectorText" presStyleLbl="sibTrans1D1" presStyleIdx="4" presStyleCnt="7"/>
      <dgm:spPr/>
    </dgm:pt>
    <dgm:pt modelId="{679C267E-01EC-4731-8E5C-EFC1FB479CCA}" type="pres">
      <dgm:prSet presAssocID="{6FC6D088-ECC4-48CD-B850-370DF9B90F8D}" presName="node" presStyleLbl="node1" presStyleIdx="5" presStyleCnt="8">
        <dgm:presLayoutVars>
          <dgm:bulletEnabled val="1"/>
        </dgm:presLayoutVars>
      </dgm:prSet>
      <dgm:spPr/>
    </dgm:pt>
    <dgm:pt modelId="{A8A59ED1-4586-40A3-B655-AA127370B1DF}" type="pres">
      <dgm:prSet presAssocID="{BB21E90C-293E-4859-9E50-1285964EDB27}" presName="sibTrans" presStyleLbl="sibTrans1D1" presStyleIdx="5" presStyleCnt="7"/>
      <dgm:spPr/>
    </dgm:pt>
    <dgm:pt modelId="{2B8B265E-DAC4-49C8-820C-31731BEE97EA}" type="pres">
      <dgm:prSet presAssocID="{BB21E90C-293E-4859-9E50-1285964EDB27}" presName="connectorText" presStyleLbl="sibTrans1D1" presStyleIdx="5" presStyleCnt="7"/>
      <dgm:spPr/>
    </dgm:pt>
    <dgm:pt modelId="{739D0CB1-91F4-4C9A-BE64-4E88568F060B}" type="pres">
      <dgm:prSet presAssocID="{800CEB31-576A-4E3B-97C2-7EEC2B26CD4F}" presName="node" presStyleLbl="node1" presStyleIdx="6" presStyleCnt="8">
        <dgm:presLayoutVars>
          <dgm:bulletEnabled val="1"/>
        </dgm:presLayoutVars>
      </dgm:prSet>
      <dgm:spPr/>
    </dgm:pt>
    <dgm:pt modelId="{C98D6836-3DF4-49D6-A15F-84BF0D8A3EB2}" type="pres">
      <dgm:prSet presAssocID="{16AA8B0C-3B8C-4A67-A506-F6BD396B9404}" presName="sibTrans" presStyleLbl="sibTrans1D1" presStyleIdx="6" presStyleCnt="7"/>
      <dgm:spPr/>
    </dgm:pt>
    <dgm:pt modelId="{ED53A601-C0FE-4DF2-80A5-F2096ABFC959}" type="pres">
      <dgm:prSet presAssocID="{16AA8B0C-3B8C-4A67-A506-F6BD396B9404}" presName="connectorText" presStyleLbl="sibTrans1D1" presStyleIdx="6" presStyleCnt="7"/>
      <dgm:spPr/>
    </dgm:pt>
    <dgm:pt modelId="{4F25911B-D191-4406-9090-B9A6705F7762}" type="pres">
      <dgm:prSet presAssocID="{35091B01-CD7A-4D1A-9982-A0549F2DC106}" presName="node" presStyleLbl="node1" presStyleIdx="7" presStyleCnt="8">
        <dgm:presLayoutVars>
          <dgm:bulletEnabled val="1"/>
        </dgm:presLayoutVars>
      </dgm:prSet>
      <dgm:spPr/>
    </dgm:pt>
  </dgm:ptLst>
  <dgm:cxnLst>
    <dgm:cxn modelId="{59908E0A-F695-4872-B5F2-594D30C4F328}" type="presOf" srcId="{35091B01-CD7A-4D1A-9982-A0549F2DC106}" destId="{4F25911B-D191-4406-9090-B9A6705F7762}" srcOrd="0" destOrd="0" presId="urn:microsoft.com/office/officeart/2005/8/layout/bProcess3"/>
    <dgm:cxn modelId="{0556DD0B-5E6A-44FC-B040-6374FA1678FB}" srcId="{E531B8E3-4E66-4175-BED9-F54ED6C32FDA}" destId="{0F7114A9-004F-44C1-8CDA-BE132780AB52}" srcOrd="0" destOrd="0" parTransId="{67B893C1-EFCD-48DE-B8D7-2BCE72799046}" sibTransId="{720B5242-6F31-4C56-A547-F843539E35BC}"/>
    <dgm:cxn modelId="{6AFBCB1B-15D2-462C-A280-A2874159F8D4}" type="presOf" srcId="{16AA8B0C-3B8C-4A67-A506-F6BD396B9404}" destId="{ED53A601-C0FE-4DF2-80A5-F2096ABFC959}" srcOrd="1" destOrd="0" presId="urn:microsoft.com/office/officeart/2005/8/layout/bProcess3"/>
    <dgm:cxn modelId="{FEF9E629-7E89-41B0-B330-51A178E81428}" type="presOf" srcId="{E531B8E3-4E66-4175-BED9-F54ED6C32FDA}" destId="{FB46DE0E-B1ED-4DA1-A216-09EA4E0136ED}" srcOrd="0" destOrd="0" presId="urn:microsoft.com/office/officeart/2005/8/layout/bProcess3"/>
    <dgm:cxn modelId="{0AA06233-1F79-4C66-84F2-78CCBC2D2F25}" srcId="{E531B8E3-4E66-4175-BED9-F54ED6C32FDA}" destId="{6FC6D088-ECC4-48CD-B850-370DF9B90F8D}" srcOrd="5" destOrd="0" parTransId="{FE1A4AB3-481E-46C7-876A-0E16A838932D}" sibTransId="{BB21E90C-293E-4859-9E50-1285964EDB27}"/>
    <dgm:cxn modelId="{212C2337-D4E3-47BD-AC45-57F2D6F53742}" type="presOf" srcId="{9CF0FB1A-A879-456B-8755-59BC872B48F2}" destId="{858666E0-8070-4EA9-9032-2B03F0466DD6}" srcOrd="0" destOrd="0" presId="urn:microsoft.com/office/officeart/2005/8/layout/bProcess3"/>
    <dgm:cxn modelId="{1937D03D-3954-495A-9F5D-B4B55385D317}" type="presOf" srcId="{16AA8B0C-3B8C-4A67-A506-F6BD396B9404}" destId="{C98D6836-3DF4-49D6-A15F-84BF0D8A3EB2}" srcOrd="0" destOrd="0" presId="urn:microsoft.com/office/officeart/2005/8/layout/bProcess3"/>
    <dgm:cxn modelId="{EC455C5E-0562-4F84-9C07-7866C4CCB1A2}" type="presOf" srcId="{9CF0FB1A-A879-456B-8755-59BC872B48F2}" destId="{F2B30EF2-FEF1-4CD0-BBC7-B9FD51B57ACA}" srcOrd="1" destOrd="0" presId="urn:microsoft.com/office/officeart/2005/8/layout/bProcess3"/>
    <dgm:cxn modelId="{67C0AF4B-B92B-4F10-9AB3-74F9D35AC5F7}" type="presOf" srcId="{1C5A721C-CDC7-4F74-B88C-2BF048B9E9E4}" destId="{530ACBC5-46AF-47D8-B9D7-873B36FD8737}" srcOrd="1" destOrd="0" presId="urn:microsoft.com/office/officeart/2005/8/layout/bProcess3"/>
    <dgm:cxn modelId="{5121404E-569D-4159-B97D-44EFABD088B4}" type="presOf" srcId="{2CF72E21-CB50-4223-90F2-2D79728D503C}" destId="{A0BF09DB-CB98-4EA2-BF1F-73EFC9758586}" srcOrd="0" destOrd="0" presId="urn:microsoft.com/office/officeart/2005/8/layout/bProcess3"/>
    <dgm:cxn modelId="{3FBBE050-F26C-4A28-846B-2E5E76806C99}" type="presOf" srcId="{720B5242-6F31-4C56-A547-F843539E35BC}" destId="{6D7A94B8-0E22-46C0-8F60-ADCB53C9498D}" srcOrd="1" destOrd="0" presId="urn:microsoft.com/office/officeart/2005/8/layout/bProcess3"/>
    <dgm:cxn modelId="{04575C55-AB40-4871-AB3E-9FD2A9988E6D}" srcId="{E531B8E3-4E66-4175-BED9-F54ED6C32FDA}" destId="{800CEB31-576A-4E3B-97C2-7EEC2B26CD4F}" srcOrd="6" destOrd="0" parTransId="{8BAA35B4-0977-4593-BAC8-E2FECE375962}" sibTransId="{16AA8B0C-3B8C-4A67-A506-F6BD396B9404}"/>
    <dgm:cxn modelId="{65646075-1E26-4AF7-9EA0-2BE3C395F596}" type="presOf" srcId="{0F7114A9-004F-44C1-8CDA-BE132780AB52}" destId="{0D249F6F-FAA7-4E9B-AAB8-B542131049DB}" srcOrd="0" destOrd="0" presId="urn:microsoft.com/office/officeart/2005/8/layout/bProcess3"/>
    <dgm:cxn modelId="{9FA61B56-48A5-41AB-B65B-0410BD845C7D}" srcId="{E531B8E3-4E66-4175-BED9-F54ED6C32FDA}" destId="{2CF72E21-CB50-4223-90F2-2D79728D503C}" srcOrd="4" destOrd="0" parTransId="{017B8654-B0D6-430A-BEBC-0112B3E6446F}" sibTransId="{9CF0FB1A-A879-456B-8755-59BC872B48F2}"/>
    <dgm:cxn modelId="{1B23A957-3F4B-471D-8CB1-59D0E921F887}" type="presOf" srcId="{BB21E90C-293E-4859-9E50-1285964EDB27}" destId="{A8A59ED1-4586-40A3-B655-AA127370B1DF}" srcOrd="0" destOrd="0" presId="urn:microsoft.com/office/officeart/2005/8/layout/bProcess3"/>
    <dgm:cxn modelId="{5070E985-44B8-4C19-B519-331BC27BFC19}" type="presOf" srcId="{6FC6D088-ECC4-48CD-B850-370DF9B90F8D}" destId="{679C267E-01EC-4731-8E5C-EFC1FB479CCA}" srcOrd="0" destOrd="0" presId="urn:microsoft.com/office/officeart/2005/8/layout/bProcess3"/>
    <dgm:cxn modelId="{FEEEA68C-C4CC-4699-8A59-09B9B334FD56}" type="presOf" srcId="{365052AE-2051-43BF-911D-CC7A6D5FF4DC}" destId="{01AFD7BA-8C52-4107-91C7-6E600B3D4961}" srcOrd="1" destOrd="0" presId="urn:microsoft.com/office/officeart/2005/8/layout/bProcess3"/>
    <dgm:cxn modelId="{B0E35994-8778-4A1B-A1A9-F84AA136B35C}" type="presOf" srcId="{9BDBE75A-8FF3-43A0-8880-832503DCEF98}" destId="{61BA72DE-C70C-412A-BADC-D781DBA3ECCA}" srcOrd="0" destOrd="0" presId="urn:microsoft.com/office/officeart/2005/8/layout/bProcess3"/>
    <dgm:cxn modelId="{6DBBC6A2-D1CB-4E66-8F70-AF729DC91BE5}" type="presOf" srcId="{AAC4CE08-8503-4BF6-9C9A-DDA9C1EABEE4}" destId="{36340D43-D41B-495E-9D95-632029C2FA3E}" srcOrd="0" destOrd="0" presId="urn:microsoft.com/office/officeart/2005/8/layout/bProcess3"/>
    <dgm:cxn modelId="{12A89CAF-E571-4357-8FCB-54730864242F}" type="presOf" srcId="{10F38E99-3970-4D39-90D6-7A371ED2E097}" destId="{D0D8FE37-1250-45D7-A615-1796540C23E6}" srcOrd="0" destOrd="0" presId="urn:microsoft.com/office/officeart/2005/8/layout/bProcess3"/>
    <dgm:cxn modelId="{7CF4D0B0-ED53-48ED-A26F-49198196FBFB}" srcId="{E531B8E3-4E66-4175-BED9-F54ED6C32FDA}" destId="{35091B01-CD7A-4D1A-9982-A0549F2DC106}" srcOrd="7" destOrd="0" parTransId="{1EFDC2C8-3A02-4F43-AFCE-8E69D0BA954F}" sibTransId="{32039B2D-49C2-454F-8C39-F7913EB1546B}"/>
    <dgm:cxn modelId="{46E028B9-4464-4350-8B9E-276994FE4AAC}" type="presOf" srcId="{BB21E90C-293E-4859-9E50-1285964EDB27}" destId="{2B8B265E-DAC4-49C8-820C-31731BEE97EA}" srcOrd="1" destOrd="0" presId="urn:microsoft.com/office/officeart/2005/8/layout/bProcess3"/>
    <dgm:cxn modelId="{1A122EBB-2D27-4014-92B5-A9A7EE6CC7D6}" type="presOf" srcId="{5EBB9351-2E44-4EC6-B7E1-017AB8BAB25C}" destId="{7786569B-1222-423C-9582-D21714BE6108}" srcOrd="0" destOrd="0" presId="urn:microsoft.com/office/officeart/2005/8/layout/bProcess3"/>
    <dgm:cxn modelId="{3D8B29BE-61D8-414A-BDCD-6B6304956EDB}" srcId="{E531B8E3-4E66-4175-BED9-F54ED6C32FDA}" destId="{AAC4CE08-8503-4BF6-9C9A-DDA9C1EABEE4}" srcOrd="2" destOrd="0" parTransId="{F329E443-6269-4EBB-9129-13174A8EF8FF}" sibTransId="{1C5A721C-CDC7-4F74-B88C-2BF048B9E9E4}"/>
    <dgm:cxn modelId="{D39A05C8-E503-45D7-823D-D715019817E3}" type="presOf" srcId="{365052AE-2051-43BF-911D-CC7A6D5FF4DC}" destId="{92F0E6A6-000C-4443-AC74-B7000117640A}" srcOrd="0" destOrd="0" presId="urn:microsoft.com/office/officeart/2005/8/layout/bProcess3"/>
    <dgm:cxn modelId="{B03E9BD3-AD3C-4B0F-835D-BC1DB147E065}" type="presOf" srcId="{1C5A721C-CDC7-4F74-B88C-2BF048B9E9E4}" destId="{5DB13E46-626D-47ED-9F97-695CEF6C796F}" srcOrd="0" destOrd="0" presId="urn:microsoft.com/office/officeart/2005/8/layout/bProcess3"/>
    <dgm:cxn modelId="{6D1AACDF-55CF-468E-8896-FDF6EB5B350D}" type="presOf" srcId="{9BDBE75A-8FF3-43A0-8880-832503DCEF98}" destId="{A591375E-3CC0-409C-97F0-C6DCD8ACF55F}" srcOrd="1" destOrd="0" presId="urn:microsoft.com/office/officeart/2005/8/layout/bProcess3"/>
    <dgm:cxn modelId="{DF26EAE8-3C87-4E0E-8B20-1FFC8E471162}" srcId="{E531B8E3-4E66-4175-BED9-F54ED6C32FDA}" destId="{5EBB9351-2E44-4EC6-B7E1-017AB8BAB25C}" srcOrd="1" destOrd="0" parTransId="{3A835E67-CEBD-400F-95A9-484936ECC28F}" sibTransId="{9BDBE75A-8FF3-43A0-8880-832503DCEF98}"/>
    <dgm:cxn modelId="{2AC525E9-D8C5-4DD6-866E-8C8B21251415}" srcId="{E531B8E3-4E66-4175-BED9-F54ED6C32FDA}" destId="{10F38E99-3970-4D39-90D6-7A371ED2E097}" srcOrd="3" destOrd="0" parTransId="{24C326E1-BE41-443C-809B-37A6BCDE938D}" sibTransId="{365052AE-2051-43BF-911D-CC7A6D5FF4DC}"/>
    <dgm:cxn modelId="{E3A1BBF3-66F4-495F-B6F2-0010A4CF9927}" type="presOf" srcId="{800CEB31-576A-4E3B-97C2-7EEC2B26CD4F}" destId="{739D0CB1-91F4-4C9A-BE64-4E88568F060B}" srcOrd="0" destOrd="0" presId="urn:microsoft.com/office/officeart/2005/8/layout/bProcess3"/>
    <dgm:cxn modelId="{BAF2E3F9-3C71-45A5-9DAC-1886941FFEBF}" type="presOf" srcId="{720B5242-6F31-4C56-A547-F843539E35BC}" destId="{7C46F350-8EF1-47C3-B333-5D8A34F25CDA}" srcOrd="0" destOrd="0" presId="urn:microsoft.com/office/officeart/2005/8/layout/bProcess3"/>
    <dgm:cxn modelId="{C4073CE3-A2BA-4C1E-AC36-7F81C8CB919F}" type="presParOf" srcId="{FB46DE0E-B1ED-4DA1-A216-09EA4E0136ED}" destId="{0D249F6F-FAA7-4E9B-AAB8-B542131049DB}" srcOrd="0" destOrd="0" presId="urn:microsoft.com/office/officeart/2005/8/layout/bProcess3"/>
    <dgm:cxn modelId="{BAC10C2B-6D1B-466C-B913-52B4821A736D}" type="presParOf" srcId="{FB46DE0E-B1ED-4DA1-A216-09EA4E0136ED}" destId="{7C46F350-8EF1-47C3-B333-5D8A34F25CDA}" srcOrd="1" destOrd="0" presId="urn:microsoft.com/office/officeart/2005/8/layout/bProcess3"/>
    <dgm:cxn modelId="{6DD12282-CD03-42EF-A535-E02B1D0B461C}" type="presParOf" srcId="{7C46F350-8EF1-47C3-B333-5D8A34F25CDA}" destId="{6D7A94B8-0E22-46C0-8F60-ADCB53C9498D}" srcOrd="0" destOrd="0" presId="urn:microsoft.com/office/officeart/2005/8/layout/bProcess3"/>
    <dgm:cxn modelId="{A9AF9A11-F4AA-470B-A7D9-871EC8F4EAEB}" type="presParOf" srcId="{FB46DE0E-B1ED-4DA1-A216-09EA4E0136ED}" destId="{7786569B-1222-423C-9582-D21714BE6108}" srcOrd="2" destOrd="0" presId="urn:microsoft.com/office/officeart/2005/8/layout/bProcess3"/>
    <dgm:cxn modelId="{E2565596-9383-4B16-B13E-B18AA8DA32AE}" type="presParOf" srcId="{FB46DE0E-B1ED-4DA1-A216-09EA4E0136ED}" destId="{61BA72DE-C70C-412A-BADC-D781DBA3ECCA}" srcOrd="3" destOrd="0" presId="urn:microsoft.com/office/officeart/2005/8/layout/bProcess3"/>
    <dgm:cxn modelId="{2EA36B74-AB98-454D-92E8-71912C7B1DD5}" type="presParOf" srcId="{61BA72DE-C70C-412A-BADC-D781DBA3ECCA}" destId="{A591375E-3CC0-409C-97F0-C6DCD8ACF55F}" srcOrd="0" destOrd="0" presId="urn:microsoft.com/office/officeart/2005/8/layout/bProcess3"/>
    <dgm:cxn modelId="{68C01DC7-9C42-40A7-AC2F-82FBC8C5204A}" type="presParOf" srcId="{FB46DE0E-B1ED-4DA1-A216-09EA4E0136ED}" destId="{36340D43-D41B-495E-9D95-632029C2FA3E}" srcOrd="4" destOrd="0" presId="urn:microsoft.com/office/officeart/2005/8/layout/bProcess3"/>
    <dgm:cxn modelId="{981AD2F0-1E36-4AA8-B52F-F8A8A3F89318}" type="presParOf" srcId="{FB46DE0E-B1ED-4DA1-A216-09EA4E0136ED}" destId="{5DB13E46-626D-47ED-9F97-695CEF6C796F}" srcOrd="5" destOrd="0" presId="urn:microsoft.com/office/officeart/2005/8/layout/bProcess3"/>
    <dgm:cxn modelId="{A7CE7187-24A5-4ED2-8A8C-8E7881475652}" type="presParOf" srcId="{5DB13E46-626D-47ED-9F97-695CEF6C796F}" destId="{530ACBC5-46AF-47D8-B9D7-873B36FD8737}" srcOrd="0" destOrd="0" presId="urn:microsoft.com/office/officeart/2005/8/layout/bProcess3"/>
    <dgm:cxn modelId="{6A2FD071-F51F-47DE-9F43-C664A9B4E9E9}" type="presParOf" srcId="{FB46DE0E-B1ED-4DA1-A216-09EA4E0136ED}" destId="{D0D8FE37-1250-45D7-A615-1796540C23E6}" srcOrd="6" destOrd="0" presId="urn:microsoft.com/office/officeart/2005/8/layout/bProcess3"/>
    <dgm:cxn modelId="{E119ADDB-DDB4-4831-9E01-0164F38798A9}" type="presParOf" srcId="{FB46DE0E-B1ED-4DA1-A216-09EA4E0136ED}" destId="{92F0E6A6-000C-4443-AC74-B7000117640A}" srcOrd="7" destOrd="0" presId="urn:microsoft.com/office/officeart/2005/8/layout/bProcess3"/>
    <dgm:cxn modelId="{9DE09EE7-8C58-46AA-8EDE-EBFF5A558D30}" type="presParOf" srcId="{92F0E6A6-000C-4443-AC74-B7000117640A}" destId="{01AFD7BA-8C52-4107-91C7-6E600B3D4961}" srcOrd="0" destOrd="0" presId="urn:microsoft.com/office/officeart/2005/8/layout/bProcess3"/>
    <dgm:cxn modelId="{64306B93-9377-4665-BF14-9675CED84EAC}" type="presParOf" srcId="{FB46DE0E-B1ED-4DA1-A216-09EA4E0136ED}" destId="{A0BF09DB-CB98-4EA2-BF1F-73EFC9758586}" srcOrd="8" destOrd="0" presId="urn:microsoft.com/office/officeart/2005/8/layout/bProcess3"/>
    <dgm:cxn modelId="{3FAD39D4-09A5-44A2-84F2-144F7E4DDD65}" type="presParOf" srcId="{FB46DE0E-B1ED-4DA1-A216-09EA4E0136ED}" destId="{858666E0-8070-4EA9-9032-2B03F0466DD6}" srcOrd="9" destOrd="0" presId="urn:microsoft.com/office/officeart/2005/8/layout/bProcess3"/>
    <dgm:cxn modelId="{23089EF4-70AB-4759-925E-CDC8E95FEA70}" type="presParOf" srcId="{858666E0-8070-4EA9-9032-2B03F0466DD6}" destId="{F2B30EF2-FEF1-4CD0-BBC7-B9FD51B57ACA}" srcOrd="0" destOrd="0" presId="urn:microsoft.com/office/officeart/2005/8/layout/bProcess3"/>
    <dgm:cxn modelId="{A88C2193-E2B8-40D3-956A-97A8654AC994}" type="presParOf" srcId="{FB46DE0E-B1ED-4DA1-A216-09EA4E0136ED}" destId="{679C267E-01EC-4731-8E5C-EFC1FB479CCA}" srcOrd="10" destOrd="0" presId="urn:microsoft.com/office/officeart/2005/8/layout/bProcess3"/>
    <dgm:cxn modelId="{F6971B3F-659D-47B3-BA5E-0040E536F4C0}" type="presParOf" srcId="{FB46DE0E-B1ED-4DA1-A216-09EA4E0136ED}" destId="{A8A59ED1-4586-40A3-B655-AA127370B1DF}" srcOrd="11" destOrd="0" presId="urn:microsoft.com/office/officeart/2005/8/layout/bProcess3"/>
    <dgm:cxn modelId="{B6C5CDFF-F145-44AE-A47F-DCD0CAB62E5C}" type="presParOf" srcId="{A8A59ED1-4586-40A3-B655-AA127370B1DF}" destId="{2B8B265E-DAC4-49C8-820C-31731BEE97EA}" srcOrd="0" destOrd="0" presId="urn:microsoft.com/office/officeart/2005/8/layout/bProcess3"/>
    <dgm:cxn modelId="{11C891F8-E093-49E8-8946-90E6A864DA3D}" type="presParOf" srcId="{FB46DE0E-B1ED-4DA1-A216-09EA4E0136ED}" destId="{739D0CB1-91F4-4C9A-BE64-4E88568F060B}" srcOrd="12" destOrd="0" presId="urn:microsoft.com/office/officeart/2005/8/layout/bProcess3"/>
    <dgm:cxn modelId="{23FCFCD5-065F-4F11-AB49-2B1BB0DEBC29}" type="presParOf" srcId="{FB46DE0E-B1ED-4DA1-A216-09EA4E0136ED}" destId="{C98D6836-3DF4-49D6-A15F-84BF0D8A3EB2}" srcOrd="13" destOrd="0" presId="urn:microsoft.com/office/officeart/2005/8/layout/bProcess3"/>
    <dgm:cxn modelId="{3ED43A5E-383F-4B02-BC86-105B1824861C}" type="presParOf" srcId="{C98D6836-3DF4-49D6-A15F-84BF0D8A3EB2}" destId="{ED53A601-C0FE-4DF2-80A5-F2096ABFC959}" srcOrd="0" destOrd="0" presId="urn:microsoft.com/office/officeart/2005/8/layout/bProcess3"/>
    <dgm:cxn modelId="{59639F75-9C31-4183-A56D-76A4375EFF2D}" type="presParOf" srcId="{FB46DE0E-B1ED-4DA1-A216-09EA4E0136ED}" destId="{4F25911B-D191-4406-9090-B9A6705F7762}" srcOrd="14" destOrd="0" presId="urn:microsoft.com/office/officeart/2005/8/layout/bProcess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ED9ECA-84AF-4CD2-ABA9-3B3BBAF56AA0}" type="doc">
      <dgm:prSet loTypeId="urn:microsoft.com/office/officeart/2005/8/layout/lProcess2" loCatId="list" qsTypeId="urn:microsoft.com/office/officeart/2005/8/quickstyle/simple5" qsCatId="simple" csTypeId="urn:microsoft.com/office/officeart/2005/8/colors/accent1_1" csCatId="accent1" phldr="1"/>
      <dgm:spPr/>
      <dgm:t>
        <a:bodyPr/>
        <a:lstStyle/>
        <a:p>
          <a:endParaRPr lang="pt-BR"/>
        </a:p>
      </dgm:t>
    </dgm:pt>
    <dgm:pt modelId="{11A39D96-0937-4F7C-B84E-E8EB06BEBDEF}">
      <dgm:prSet phldrT="[Texto]" custT="1"/>
      <dgm:spPr/>
      <dgm:t>
        <a:bodyPr/>
        <a:lstStyle/>
        <a:p>
          <a:r>
            <a:rPr lang="pt-BR" sz="1400">
              <a:latin typeface="+mn-lt"/>
              <a:cs typeface="Times New Roman" panose="02020603050405020304" pitchFamily="18" charset="0"/>
            </a:rPr>
            <a:t>Liderar com a proliferação de dados</a:t>
          </a:r>
        </a:p>
      </dgm:t>
    </dgm:pt>
    <dgm:pt modelId="{CFE0284E-B099-4E84-8987-C82457F3BD78}" type="parTrans" cxnId="{5690A658-161A-42C0-9505-CC02F74E7875}">
      <dgm:prSet/>
      <dgm:spPr/>
      <dgm:t>
        <a:bodyPr/>
        <a:lstStyle/>
        <a:p>
          <a:endParaRPr lang="pt-BR">
            <a:latin typeface="+mn-lt"/>
          </a:endParaRPr>
        </a:p>
      </dgm:t>
    </dgm:pt>
    <dgm:pt modelId="{074009C8-5204-4137-8629-C6DBD4A61218}" type="sibTrans" cxnId="{5690A658-161A-42C0-9505-CC02F74E7875}">
      <dgm:prSet/>
      <dgm:spPr/>
      <dgm:t>
        <a:bodyPr/>
        <a:lstStyle/>
        <a:p>
          <a:endParaRPr lang="pt-BR">
            <a:latin typeface="+mn-lt"/>
          </a:endParaRPr>
        </a:p>
      </dgm:t>
    </dgm:pt>
    <dgm:pt modelId="{AE02BC05-E6D4-4143-9CD4-C8EDCB9A20B6}">
      <dgm:prSet phldrT="[Texto]" custT="1"/>
      <dgm:spPr/>
      <dgm:t>
        <a:bodyPr/>
        <a:lstStyle/>
        <a:p>
          <a:r>
            <a:rPr lang="pt-BR" sz="1000">
              <a:latin typeface="+mn-lt"/>
              <a:cs typeface="Times New Roman" panose="02020603050405020304" pitchFamily="18" charset="0"/>
            </a:rPr>
            <a:t>Ferramentas avançadas de análise e visualização de dados continuarão a evoluir e serão muito úteis para entender o risco e o seu impacto, positivo e negativo</a:t>
          </a:r>
        </a:p>
      </dgm:t>
    </dgm:pt>
    <dgm:pt modelId="{25CE51FA-51C1-4178-9EC3-CDC9F5EC5103}" type="parTrans" cxnId="{DD8E3138-400F-447D-A60F-B9EE35E99A5F}">
      <dgm:prSet/>
      <dgm:spPr/>
      <dgm:t>
        <a:bodyPr/>
        <a:lstStyle/>
        <a:p>
          <a:endParaRPr lang="pt-BR">
            <a:latin typeface="+mn-lt"/>
          </a:endParaRPr>
        </a:p>
      </dgm:t>
    </dgm:pt>
    <dgm:pt modelId="{D8F00791-7790-4BE6-AED9-99694906F52E}" type="sibTrans" cxnId="{DD8E3138-400F-447D-A60F-B9EE35E99A5F}">
      <dgm:prSet/>
      <dgm:spPr/>
      <dgm:t>
        <a:bodyPr/>
        <a:lstStyle/>
        <a:p>
          <a:endParaRPr lang="pt-BR">
            <a:latin typeface="+mn-lt"/>
          </a:endParaRPr>
        </a:p>
      </dgm:t>
    </dgm:pt>
    <dgm:pt modelId="{47C9FDAA-84AF-4BD1-A75F-DCA4CF057695}">
      <dgm:prSet phldrT="[Texto]" custT="1"/>
      <dgm:spPr/>
      <dgm:t>
        <a:bodyPr/>
        <a:lstStyle/>
        <a:p>
          <a:r>
            <a:rPr lang="pt-BR" sz="1400">
              <a:latin typeface="+mn-lt"/>
              <a:cs typeface="Times New Roman" panose="02020603050405020304" pitchFamily="18" charset="0"/>
            </a:rPr>
            <a:t>Alavancar inteligência artificial e automação</a:t>
          </a:r>
        </a:p>
      </dgm:t>
    </dgm:pt>
    <dgm:pt modelId="{19A4780A-B375-46EB-8F45-EA3BE93DF669}" type="parTrans" cxnId="{3300E27A-4929-4D7B-980F-65A1E4F5019E}">
      <dgm:prSet/>
      <dgm:spPr/>
      <dgm:t>
        <a:bodyPr/>
        <a:lstStyle/>
        <a:p>
          <a:endParaRPr lang="pt-BR">
            <a:latin typeface="+mn-lt"/>
          </a:endParaRPr>
        </a:p>
      </dgm:t>
    </dgm:pt>
    <dgm:pt modelId="{36042FD0-75C1-4679-81BA-303DB2021664}" type="sibTrans" cxnId="{3300E27A-4929-4D7B-980F-65A1E4F5019E}">
      <dgm:prSet/>
      <dgm:spPr/>
      <dgm:t>
        <a:bodyPr/>
        <a:lstStyle/>
        <a:p>
          <a:endParaRPr lang="pt-BR">
            <a:latin typeface="+mn-lt"/>
          </a:endParaRPr>
        </a:p>
      </dgm:t>
    </dgm:pt>
    <dgm:pt modelId="{BEF1865F-376E-4B8F-B470-EA15B4C4F91B}">
      <dgm:prSet phldrT="[Texto]" custT="1"/>
      <dgm:spPr/>
      <dgm:t>
        <a:bodyPr/>
        <a:lstStyle/>
        <a:p>
          <a:r>
            <a:rPr lang="pt-BR" sz="1000">
              <a:latin typeface="+mn-lt"/>
              <a:cs typeface="Times New Roman" panose="02020603050405020304" pitchFamily="18" charset="0"/>
            </a:rPr>
            <a:t>É importante que as práticas de gerenciamento de riscos corporativos considerem o impacto dessas e de futuras tecnologias e tirem proveito de suas capacidades</a:t>
          </a:r>
        </a:p>
      </dgm:t>
    </dgm:pt>
    <dgm:pt modelId="{3A8B4CB2-82E0-4CB1-B66A-E106FCD779E6}" type="parTrans" cxnId="{A18BB4B2-50C3-4025-BE75-12CB62CDABD6}">
      <dgm:prSet/>
      <dgm:spPr/>
      <dgm:t>
        <a:bodyPr/>
        <a:lstStyle/>
        <a:p>
          <a:endParaRPr lang="pt-BR">
            <a:latin typeface="+mn-lt"/>
          </a:endParaRPr>
        </a:p>
      </dgm:t>
    </dgm:pt>
    <dgm:pt modelId="{F62B5623-635D-4C43-8B06-1E1AECC58FE4}" type="sibTrans" cxnId="{A18BB4B2-50C3-4025-BE75-12CB62CDABD6}">
      <dgm:prSet/>
      <dgm:spPr/>
      <dgm:t>
        <a:bodyPr/>
        <a:lstStyle/>
        <a:p>
          <a:endParaRPr lang="pt-BR">
            <a:latin typeface="+mn-lt"/>
          </a:endParaRPr>
        </a:p>
      </dgm:t>
    </dgm:pt>
    <dgm:pt modelId="{092AC90F-7BD8-4D43-99F5-04EC0EDDA3AC}">
      <dgm:prSet phldrT="[Texto]" custT="1"/>
      <dgm:spPr/>
      <dgm:t>
        <a:bodyPr/>
        <a:lstStyle/>
        <a:p>
          <a:r>
            <a:rPr lang="pt-BR" sz="1400">
              <a:latin typeface="+mn-lt"/>
              <a:cs typeface="Times New Roman" panose="02020603050405020304" pitchFamily="18" charset="0"/>
            </a:rPr>
            <a:t>Administrar o custo do gerenciamento de riscos</a:t>
          </a:r>
        </a:p>
      </dgm:t>
    </dgm:pt>
    <dgm:pt modelId="{19098F15-A721-4ABC-9E4E-62FFAF19243F}" type="parTrans" cxnId="{F791DD88-4721-4277-8080-D32360335396}">
      <dgm:prSet/>
      <dgm:spPr/>
      <dgm:t>
        <a:bodyPr/>
        <a:lstStyle/>
        <a:p>
          <a:endParaRPr lang="pt-BR">
            <a:latin typeface="+mn-lt"/>
          </a:endParaRPr>
        </a:p>
      </dgm:t>
    </dgm:pt>
    <dgm:pt modelId="{5A2B17FE-788C-4D76-B6BE-9BFCE27C107A}" type="sibTrans" cxnId="{F791DD88-4721-4277-8080-D32360335396}">
      <dgm:prSet/>
      <dgm:spPr/>
      <dgm:t>
        <a:bodyPr/>
        <a:lstStyle/>
        <a:p>
          <a:endParaRPr lang="pt-BR">
            <a:latin typeface="+mn-lt"/>
          </a:endParaRPr>
        </a:p>
      </dgm:t>
    </dgm:pt>
    <dgm:pt modelId="{87AAC6CC-30DF-4DBA-B03E-1505F04F7748}">
      <dgm:prSet phldrT="[Texto]" custT="1"/>
      <dgm:spPr/>
      <dgm:t>
        <a:bodyPr/>
        <a:lstStyle/>
        <a:p>
          <a:r>
            <a:rPr lang="pt-BR" sz="1000">
              <a:latin typeface="+mn-lt"/>
              <a:cs typeface="Times New Roman" panose="02020603050405020304" pitchFamily="18" charset="0"/>
            </a:rPr>
            <a:t>Será cada vez mais importante que as atividades relacionadas a risco, conformidade, controle e governança sejam eficientemente coordenadas para proporcionar o maior benefício possível à organização</a:t>
          </a:r>
        </a:p>
      </dgm:t>
    </dgm:pt>
    <dgm:pt modelId="{27DD35DD-DED4-4C50-9C41-EB627E905257}" type="parTrans" cxnId="{3C0B4C60-8F70-4074-B301-6EE664FAF0DD}">
      <dgm:prSet/>
      <dgm:spPr/>
      <dgm:t>
        <a:bodyPr/>
        <a:lstStyle/>
        <a:p>
          <a:endParaRPr lang="pt-BR">
            <a:latin typeface="+mn-lt"/>
          </a:endParaRPr>
        </a:p>
      </dgm:t>
    </dgm:pt>
    <dgm:pt modelId="{47DB8037-3FFD-4321-86EE-164986C008FA}" type="sibTrans" cxnId="{3C0B4C60-8F70-4074-B301-6EE664FAF0DD}">
      <dgm:prSet/>
      <dgm:spPr/>
      <dgm:t>
        <a:bodyPr/>
        <a:lstStyle/>
        <a:p>
          <a:endParaRPr lang="pt-BR">
            <a:latin typeface="+mn-lt"/>
          </a:endParaRPr>
        </a:p>
      </dgm:t>
    </dgm:pt>
    <dgm:pt modelId="{BED76004-D59D-40F9-AA01-2C3880604380}">
      <dgm:prSet phldrT="[Texto]" custT="1"/>
      <dgm:spPr/>
      <dgm:t>
        <a:bodyPr/>
        <a:lstStyle/>
        <a:p>
          <a:r>
            <a:rPr lang="pt-BR" sz="1400">
              <a:latin typeface="+mn-lt"/>
              <a:cs typeface="Times New Roman" panose="02020603050405020304" pitchFamily="18" charset="0"/>
            </a:rPr>
            <a:t>Construir organizações mais fortes</a:t>
          </a:r>
        </a:p>
      </dgm:t>
    </dgm:pt>
    <dgm:pt modelId="{87D14D12-EE29-4C9E-92BB-E5F0FA3DC545}" type="parTrans" cxnId="{9E07EAA0-2B8A-41EC-A225-D8E15D5F758A}">
      <dgm:prSet/>
      <dgm:spPr/>
      <dgm:t>
        <a:bodyPr/>
        <a:lstStyle/>
        <a:p>
          <a:endParaRPr lang="pt-BR">
            <a:latin typeface="+mn-lt"/>
          </a:endParaRPr>
        </a:p>
      </dgm:t>
    </dgm:pt>
    <dgm:pt modelId="{2917E251-4373-4835-8BC7-77A8BABB58B7}" type="sibTrans" cxnId="{9E07EAA0-2B8A-41EC-A225-D8E15D5F758A}">
      <dgm:prSet/>
      <dgm:spPr/>
      <dgm:t>
        <a:bodyPr/>
        <a:lstStyle/>
        <a:p>
          <a:endParaRPr lang="pt-BR">
            <a:latin typeface="+mn-lt"/>
          </a:endParaRPr>
        </a:p>
      </dgm:t>
    </dgm:pt>
    <dgm:pt modelId="{46054CCA-6B3D-413E-B2DF-E9458812D5BB}">
      <dgm:prSet phldrT="[Texto]" custT="1"/>
      <dgm:spPr/>
      <dgm:t>
        <a:bodyPr/>
        <a:lstStyle/>
        <a:p>
          <a:r>
            <a:rPr lang="pt-BR" sz="1000">
              <a:latin typeface="+mn-lt"/>
              <a:cs typeface="Times New Roman" panose="02020603050405020304" pitchFamily="18" charset="0"/>
            </a:rPr>
            <a:t>Ao conhecer os riscos que terão maior impacto, as organizações podem usar o gerenciamento de riscos corporativos para apoiá-las na criação de competência que lhes permitam atuar com proatividade, criando novas oportunidades</a:t>
          </a:r>
        </a:p>
      </dgm:t>
    </dgm:pt>
    <dgm:pt modelId="{DAEF5449-06B7-4E59-84C5-401526E41336}" type="parTrans" cxnId="{01B08895-D06E-49E2-9DFA-2DEFDDDD0B48}">
      <dgm:prSet/>
      <dgm:spPr/>
      <dgm:t>
        <a:bodyPr/>
        <a:lstStyle/>
        <a:p>
          <a:endParaRPr lang="pt-BR">
            <a:latin typeface="+mn-lt"/>
          </a:endParaRPr>
        </a:p>
      </dgm:t>
    </dgm:pt>
    <dgm:pt modelId="{221EE978-4EBF-43D0-B314-F43AEE62245A}" type="sibTrans" cxnId="{01B08895-D06E-49E2-9DFA-2DEFDDDD0B48}">
      <dgm:prSet/>
      <dgm:spPr/>
      <dgm:t>
        <a:bodyPr/>
        <a:lstStyle/>
        <a:p>
          <a:endParaRPr lang="pt-BR">
            <a:latin typeface="+mn-lt"/>
          </a:endParaRPr>
        </a:p>
      </dgm:t>
    </dgm:pt>
    <dgm:pt modelId="{EC26EE03-DB5D-4EAC-A2AF-6F4D137B5412}" type="pres">
      <dgm:prSet presAssocID="{B1ED9ECA-84AF-4CD2-ABA9-3B3BBAF56AA0}" presName="theList" presStyleCnt="0">
        <dgm:presLayoutVars>
          <dgm:dir/>
          <dgm:animLvl val="lvl"/>
          <dgm:resizeHandles val="exact"/>
        </dgm:presLayoutVars>
      </dgm:prSet>
      <dgm:spPr/>
    </dgm:pt>
    <dgm:pt modelId="{30D06F1D-ED52-4926-A537-2B442F9D6C57}" type="pres">
      <dgm:prSet presAssocID="{11A39D96-0937-4F7C-B84E-E8EB06BEBDEF}" presName="compNode" presStyleCnt="0"/>
      <dgm:spPr/>
    </dgm:pt>
    <dgm:pt modelId="{32C7F901-3FB4-4861-81C8-2F862EBE9C03}" type="pres">
      <dgm:prSet presAssocID="{11A39D96-0937-4F7C-B84E-E8EB06BEBDEF}" presName="aNode" presStyleLbl="bgShp" presStyleIdx="0" presStyleCnt="4"/>
      <dgm:spPr/>
    </dgm:pt>
    <dgm:pt modelId="{CC21FB04-3012-44FC-B6F8-641F580CB3CC}" type="pres">
      <dgm:prSet presAssocID="{11A39D96-0937-4F7C-B84E-E8EB06BEBDEF}" presName="textNode" presStyleLbl="bgShp" presStyleIdx="0" presStyleCnt="4"/>
      <dgm:spPr/>
    </dgm:pt>
    <dgm:pt modelId="{440585AE-304B-400C-9313-99283C9EF437}" type="pres">
      <dgm:prSet presAssocID="{11A39D96-0937-4F7C-B84E-E8EB06BEBDEF}" presName="compChildNode" presStyleCnt="0"/>
      <dgm:spPr/>
    </dgm:pt>
    <dgm:pt modelId="{81EF0817-0CF9-4059-A2E8-DCA32FB278CE}" type="pres">
      <dgm:prSet presAssocID="{11A39D96-0937-4F7C-B84E-E8EB06BEBDEF}" presName="theInnerList" presStyleCnt="0"/>
      <dgm:spPr/>
    </dgm:pt>
    <dgm:pt modelId="{7EBCD252-9E27-4818-9C8A-FA34BD8DD5E5}" type="pres">
      <dgm:prSet presAssocID="{AE02BC05-E6D4-4143-9CD4-C8EDCB9A20B6}" presName="childNode" presStyleLbl="node1" presStyleIdx="0" presStyleCnt="4">
        <dgm:presLayoutVars>
          <dgm:bulletEnabled val="1"/>
        </dgm:presLayoutVars>
      </dgm:prSet>
      <dgm:spPr/>
    </dgm:pt>
    <dgm:pt modelId="{4F5A1F05-7359-4790-A1D3-64614E318331}" type="pres">
      <dgm:prSet presAssocID="{11A39D96-0937-4F7C-B84E-E8EB06BEBDEF}" presName="aSpace" presStyleCnt="0"/>
      <dgm:spPr/>
    </dgm:pt>
    <dgm:pt modelId="{5B097914-E104-4E1F-A503-FE1C8DE17216}" type="pres">
      <dgm:prSet presAssocID="{47C9FDAA-84AF-4BD1-A75F-DCA4CF057695}" presName="compNode" presStyleCnt="0"/>
      <dgm:spPr/>
    </dgm:pt>
    <dgm:pt modelId="{6EA30FB0-D096-41A0-82F6-52CE5F2CFBDF}" type="pres">
      <dgm:prSet presAssocID="{47C9FDAA-84AF-4BD1-A75F-DCA4CF057695}" presName="aNode" presStyleLbl="bgShp" presStyleIdx="1" presStyleCnt="4"/>
      <dgm:spPr/>
    </dgm:pt>
    <dgm:pt modelId="{31CE5483-CECE-4B7F-8C86-BF23B7127B1D}" type="pres">
      <dgm:prSet presAssocID="{47C9FDAA-84AF-4BD1-A75F-DCA4CF057695}" presName="textNode" presStyleLbl="bgShp" presStyleIdx="1" presStyleCnt="4"/>
      <dgm:spPr/>
    </dgm:pt>
    <dgm:pt modelId="{348406FD-C2B6-4BF9-B3B2-B22C9DC64082}" type="pres">
      <dgm:prSet presAssocID="{47C9FDAA-84AF-4BD1-A75F-DCA4CF057695}" presName="compChildNode" presStyleCnt="0"/>
      <dgm:spPr/>
    </dgm:pt>
    <dgm:pt modelId="{B8854FDF-6000-4A53-A541-E633E61E3525}" type="pres">
      <dgm:prSet presAssocID="{47C9FDAA-84AF-4BD1-A75F-DCA4CF057695}" presName="theInnerList" presStyleCnt="0"/>
      <dgm:spPr/>
    </dgm:pt>
    <dgm:pt modelId="{1598B76D-6A56-4970-81AD-BB6F33780D91}" type="pres">
      <dgm:prSet presAssocID="{BEF1865F-376E-4B8F-B470-EA15B4C4F91B}" presName="childNode" presStyleLbl="node1" presStyleIdx="1" presStyleCnt="4">
        <dgm:presLayoutVars>
          <dgm:bulletEnabled val="1"/>
        </dgm:presLayoutVars>
      </dgm:prSet>
      <dgm:spPr/>
    </dgm:pt>
    <dgm:pt modelId="{CF46E08B-C833-47A9-A17B-DE9E9ECAA950}" type="pres">
      <dgm:prSet presAssocID="{47C9FDAA-84AF-4BD1-A75F-DCA4CF057695}" presName="aSpace" presStyleCnt="0"/>
      <dgm:spPr/>
    </dgm:pt>
    <dgm:pt modelId="{AE2C8FEA-7032-41DB-B319-83729326B38F}" type="pres">
      <dgm:prSet presAssocID="{092AC90F-7BD8-4D43-99F5-04EC0EDDA3AC}" presName="compNode" presStyleCnt="0"/>
      <dgm:spPr/>
    </dgm:pt>
    <dgm:pt modelId="{A1C1E7E8-401F-421E-9473-1B30F4F19119}" type="pres">
      <dgm:prSet presAssocID="{092AC90F-7BD8-4D43-99F5-04EC0EDDA3AC}" presName="aNode" presStyleLbl="bgShp" presStyleIdx="2" presStyleCnt="4"/>
      <dgm:spPr/>
    </dgm:pt>
    <dgm:pt modelId="{5F534D3C-C27D-4618-AB96-881D600183C0}" type="pres">
      <dgm:prSet presAssocID="{092AC90F-7BD8-4D43-99F5-04EC0EDDA3AC}" presName="textNode" presStyleLbl="bgShp" presStyleIdx="2" presStyleCnt="4"/>
      <dgm:spPr/>
    </dgm:pt>
    <dgm:pt modelId="{CD7D85A1-B00F-4314-A60B-24D981661E11}" type="pres">
      <dgm:prSet presAssocID="{092AC90F-7BD8-4D43-99F5-04EC0EDDA3AC}" presName="compChildNode" presStyleCnt="0"/>
      <dgm:spPr/>
    </dgm:pt>
    <dgm:pt modelId="{1A66AFED-4667-42D7-A8CB-818D457B73DB}" type="pres">
      <dgm:prSet presAssocID="{092AC90F-7BD8-4D43-99F5-04EC0EDDA3AC}" presName="theInnerList" presStyleCnt="0"/>
      <dgm:spPr/>
    </dgm:pt>
    <dgm:pt modelId="{DB1E75F2-10E5-4E3D-B9D5-EC29DA5828B9}" type="pres">
      <dgm:prSet presAssocID="{87AAC6CC-30DF-4DBA-B03E-1505F04F7748}" presName="childNode" presStyleLbl="node1" presStyleIdx="2" presStyleCnt="4">
        <dgm:presLayoutVars>
          <dgm:bulletEnabled val="1"/>
        </dgm:presLayoutVars>
      </dgm:prSet>
      <dgm:spPr/>
    </dgm:pt>
    <dgm:pt modelId="{95449679-87B4-4740-B5D6-F1CA67F135E2}" type="pres">
      <dgm:prSet presAssocID="{092AC90F-7BD8-4D43-99F5-04EC0EDDA3AC}" presName="aSpace" presStyleCnt="0"/>
      <dgm:spPr/>
    </dgm:pt>
    <dgm:pt modelId="{C9D03B8B-4263-4DFF-BD27-240589D50418}" type="pres">
      <dgm:prSet presAssocID="{BED76004-D59D-40F9-AA01-2C3880604380}" presName="compNode" presStyleCnt="0"/>
      <dgm:spPr/>
    </dgm:pt>
    <dgm:pt modelId="{B8DA62B7-35B9-4B08-B7F3-2FAAEFEB2538}" type="pres">
      <dgm:prSet presAssocID="{BED76004-D59D-40F9-AA01-2C3880604380}" presName="aNode" presStyleLbl="bgShp" presStyleIdx="3" presStyleCnt="4"/>
      <dgm:spPr/>
    </dgm:pt>
    <dgm:pt modelId="{60D02838-3CCF-4E1D-B610-8CC83838FE82}" type="pres">
      <dgm:prSet presAssocID="{BED76004-D59D-40F9-AA01-2C3880604380}" presName="textNode" presStyleLbl="bgShp" presStyleIdx="3" presStyleCnt="4"/>
      <dgm:spPr/>
    </dgm:pt>
    <dgm:pt modelId="{91946DD7-2123-4221-AFA8-84539409B027}" type="pres">
      <dgm:prSet presAssocID="{BED76004-D59D-40F9-AA01-2C3880604380}" presName="compChildNode" presStyleCnt="0"/>
      <dgm:spPr/>
    </dgm:pt>
    <dgm:pt modelId="{FEB2B117-A899-4EA4-9A41-93A821311CC6}" type="pres">
      <dgm:prSet presAssocID="{BED76004-D59D-40F9-AA01-2C3880604380}" presName="theInnerList" presStyleCnt="0"/>
      <dgm:spPr/>
    </dgm:pt>
    <dgm:pt modelId="{61D39BBD-5E86-49DE-94A6-F2E690A4D88E}" type="pres">
      <dgm:prSet presAssocID="{46054CCA-6B3D-413E-B2DF-E9458812D5BB}" presName="childNode" presStyleLbl="node1" presStyleIdx="3" presStyleCnt="4">
        <dgm:presLayoutVars>
          <dgm:bulletEnabled val="1"/>
        </dgm:presLayoutVars>
      </dgm:prSet>
      <dgm:spPr/>
    </dgm:pt>
  </dgm:ptLst>
  <dgm:cxnLst>
    <dgm:cxn modelId="{39000C1F-B2D0-4360-8C25-E2239A767692}" type="presOf" srcId="{AE02BC05-E6D4-4143-9CD4-C8EDCB9A20B6}" destId="{7EBCD252-9E27-4818-9C8A-FA34BD8DD5E5}" srcOrd="0" destOrd="0" presId="urn:microsoft.com/office/officeart/2005/8/layout/lProcess2"/>
    <dgm:cxn modelId="{1526A632-8914-4855-8C97-7A26243E39B4}" type="presOf" srcId="{092AC90F-7BD8-4D43-99F5-04EC0EDDA3AC}" destId="{A1C1E7E8-401F-421E-9473-1B30F4F19119}" srcOrd="0" destOrd="0" presId="urn:microsoft.com/office/officeart/2005/8/layout/lProcess2"/>
    <dgm:cxn modelId="{DD8E3138-400F-447D-A60F-B9EE35E99A5F}" srcId="{11A39D96-0937-4F7C-B84E-E8EB06BEBDEF}" destId="{AE02BC05-E6D4-4143-9CD4-C8EDCB9A20B6}" srcOrd="0" destOrd="0" parTransId="{25CE51FA-51C1-4178-9EC3-CDC9F5EC5103}" sibTransId="{D8F00791-7790-4BE6-AED9-99694906F52E}"/>
    <dgm:cxn modelId="{F8B1F03D-6944-4451-B2E6-997E87152183}" type="presOf" srcId="{11A39D96-0937-4F7C-B84E-E8EB06BEBDEF}" destId="{32C7F901-3FB4-4861-81C8-2F862EBE9C03}" srcOrd="0" destOrd="0" presId="urn:microsoft.com/office/officeart/2005/8/layout/lProcess2"/>
    <dgm:cxn modelId="{3C0B4C60-8F70-4074-B301-6EE664FAF0DD}" srcId="{092AC90F-7BD8-4D43-99F5-04EC0EDDA3AC}" destId="{87AAC6CC-30DF-4DBA-B03E-1505F04F7748}" srcOrd="0" destOrd="0" parTransId="{27DD35DD-DED4-4C50-9C41-EB627E905257}" sibTransId="{47DB8037-3FFD-4321-86EE-164986C008FA}"/>
    <dgm:cxn modelId="{5690A658-161A-42C0-9505-CC02F74E7875}" srcId="{B1ED9ECA-84AF-4CD2-ABA9-3B3BBAF56AA0}" destId="{11A39D96-0937-4F7C-B84E-E8EB06BEBDEF}" srcOrd="0" destOrd="0" parTransId="{CFE0284E-B099-4E84-8987-C82457F3BD78}" sibTransId="{074009C8-5204-4137-8629-C6DBD4A61218}"/>
    <dgm:cxn modelId="{3300E27A-4929-4D7B-980F-65A1E4F5019E}" srcId="{B1ED9ECA-84AF-4CD2-ABA9-3B3BBAF56AA0}" destId="{47C9FDAA-84AF-4BD1-A75F-DCA4CF057695}" srcOrd="1" destOrd="0" parTransId="{19A4780A-B375-46EB-8F45-EA3BE93DF669}" sibTransId="{36042FD0-75C1-4679-81BA-303DB2021664}"/>
    <dgm:cxn modelId="{F791DD88-4721-4277-8080-D32360335396}" srcId="{B1ED9ECA-84AF-4CD2-ABA9-3B3BBAF56AA0}" destId="{092AC90F-7BD8-4D43-99F5-04EC0EDDA3AC}" srcOrd="2" destOrd="0" parTransId="{19098F15-A721-4ABC-9E4E-62FFAF19243F}" sibTransId="{5A2B17FE-788C-4D76-B6BE-9BFCE27C107A}"/>
    <dgm:cxn modelId="{0ECB5E8A-EC23-405F-951A-3210421425AE}" type="presOf" srcId="{46054CCA-6B3D-413E-B2DF-E9458812D5BB}" destId="{61D39BBD-5E86-49DE-94A6-F2E690A4D88E}" srcOrd="0" destOrd="0" presId="urn:microsoft.com/office/officeart/2005/8/layout/lProcess2"/>
    <dgm:cxn modelId="{4393EE8F-4A28-42D9-9BD9-90062DA872F0}" type="presOf" srcId="{47C9FDAA-84AF-4BD1-A75F-DCA4CF057695}" destId="{6EA30FB0-D096-41A0-82F6-52CE5F2CFBDF}" srcOrd="0" destOrd="0" presId="urn:microsoft.com/office/officeart/2005/8/layout/lProcess2"/>
    <dgm:cxn modelId="{01B08895-D06E-49E2-9DFA-2DEFDDDD0B48}" srcId="{BED76004-D59D-40F9-AA01-2C3880604380}" destId="{46054CCA-6B3D-413E-B2DF-E9458812D5BB}" srcOrd="0" destOrd="0" parTransId="{DAEF5449-06B7-4E59-84C5-401526E41336}" sibTransId="{221EE978-4EBF-43D0-B314-F43AEE62245A}"/>
    <dgm:cxn modelId="{B778B098-CA9E-48B2-9D48-E5CED7B8E743}" type="presOf" srcId="{BED76004-D59D-40F9-AA01-2C3880604380}" destId="{60D02838-3CCF-4E1D-B610-8CC83838FE82}" srcOrd="1" destOrd="0" presId="urn:microsoft.com/office/officeart/2005/8/layout/lProcess2"/>
    <dgm:cxn modelId="{9E07EAA0-2B8A-41EC-A225-D8E15D5F758A}" srcId="{B1ED9ECA-84AF-4CD2-ABA9-3B3BBAF56AA0}" destId="{BED76004-D59D-40F9-AA01-2C3880604380}" srcOrd="3" destOrd="0" parTransId="{87D14D12-EE29-4C9E-92BB-E5F0FA3DC545}" sibTransId="{2917E251-4373-4835-8BC7-77A8BABB58B7}"/>
    <dgm:cxn modelId="{106E27A8-2C2A-4EB8-9870-41C0CEED509A}" type="presOf" srcId="{47C9FDAA-84AF-4BD1-A75F-DCA4CF057695}" destId="{31CE5483-CECE-4B7F-8C86-BF23B7127B1D}" srcOrd="1" destOrd="0" presId="urn:microsoft.com/office/officeart/2005/8/layout/lProcess2"/>
    <dgm:cxn modelId="{8BC4D6AF-9000-4914-813E-99CE52431F59}" type="presOf" srcId="{092AC90F-7BD8-4D43-99F5-04EC0EDDA3AC}" destId="{5F534D3C-C27D-4618-AB96-881D600183C0}" srcOrd="1" destOrd="0" presId="urn:microsoft.com/office/officeart/2005/8/layout/lProcess2"/>
    <dgm:cxn modelId="{A18BB4B2-50C3-4025-BE75-12CB62CDABD6}" srcId="{47C9FDAA-84AF-4BD1-A75F-DCA4CF057695}" destId="{BEF1865F-376E-4B8F-B470-EA15B4C4F91B}" srcOrd="0" destOrd="0" parTransId="{3A8B4CB2-82E0-4CB1-B66A-E106FCD779E6}" sibTransId="{F62B5623-635D-4C43-8B06-1E1AECC58FE4}"/>
    <dgm:cxn modelId="{A3187CBF-0054-4BE9-BE82-BBF0321D33F1}" type="presOf" srcId="{87AAC6CC-30DF-4DBA-B03E-1505F04F7748}" destId="{DB1E75F2-10E5-4E3D-B9D5-EC29DA5828B9}" srcOrd="0" destOrd="0" presId="urn:microsoft.com/office/officeart/2005/8/layout/lProcess2"/>
    <dgm:cxn modelId="{81E6BED0-416C-47D6-9C2F-B2BCA78BA0AD}" type="presOf" srcId="{11A39D96-0937-4F7C-B84E-E8EB06BEBDEF}" destId="{CC21FB04-3012-44FC-B6F8-641F580CB3CC}" srcOrd="1" destOrd="0" presId="urn:microsoft.com/office/officeart/2005/8/layout/lProcess2"/>
    <dgm:cxn modelId="{86027ADB-1EBD-446C-9D33-3C5F124BBFE0}" type="presOf" srcId="{BEF1865F-376E-4B8F-B470-EA15B4C4F91B}" destId="{1598B76D-6A56-4970-81AD-BB6F33780D91}" srcOrd="0" destOrd="0" presId="urn:microsoft.com/office/officeart/2005/8/layout/lProcess2"/>
    <dgm:cxn modelId="{755E09F4-12A4-4C50-AE04-1B8F48009D37}" type="presOf" srcId="{B1ED9ECA-84AF-4CD2-ABA9-3B3BBAF56AA0}" destId="{EC26EE03-DB5D-4EAC-A2AF-6F4D137B5412}" srcOrd="0" destOrd="0" presId="urn:microsoft.com/office/officeart/2005/8/layout/lProcess2"/>
    <dgm:cxn modelId="{22F34FF4-C25C-4E10-8ADD-2F7D337982C0}" type="presOf" srcId="{BED76004-D59D-40F9-AA01-2C3880604380}" destId="{B8DA62B7-35B9-4B08-B7F3-2FAAEFEB2538}" srcOrd="0" destOrd="0" presId="urn:microsoft.com/office/officeart/2005/8/layout/lProcess2"/>
    <dgm:cxn modelId="{D97D294D-9276-4050-9D70-E0F192CA4B54}" type="presParOf" srcId="{EC26EE03-DB5D-4EAC-A2AF-6F4D137B5412}" destId="{30D06F1D-ED52-4926-A537-2B442F9D6C57}" srcOrd="0" destOrd="0" presId="urn:microsoft.com/office/officeart/2005/8/layout/lProcess2"/>
    <dgm:cxn modelId="{7C9B8603-5319-41BA-A85F-73C06DD9A19E}" type="presParOf" srcId="{30D06F1D-ED52-4926-A537-2B442F9D6C57}" destId="{32C7F901-3FB4-4861-81C8-2F862EBE9C03}" srcOrd="0" destOrd="0" presId="urn:microsoft.com/office/officeart/2005/8/layout/lProcess2"/>
    <dgm:cxn modelId="{0FF10FAB-0228-40C2-B433-FF644F6D78E0}" type="presParOf" srcId="{30D06F1D-ED52-4926-A537-2B442F9D6C57}" destId="{CC21FB04-3012-44FC-B6F8-641F580CB3CC}" srcOrd="1" destOrd="0" presId="urn:microsoft.com/office/officeart/2005/8/layout/lProcess2"/>
    <dgm:cxn modelId="{C6DA5D71-0555-4322-892C-34037C003DBB}" type="presParOf" srcId="{30D06F1D-ED52-4926-A537-2B442F9D6C57}" destId="{440585AE-304B-400C-9313-99283C9EF437}" srcOrd="2" destOrd="0" presId="urn:microsoft.com/office/officeart/2005/8/layout/lProcess2"/>
    <dgm:cxn modelId="{60AE349E-71B1-4846-B280-EEA5E27CEBD5}" type="presParOf" srcId="{440585AE-304B-400C-9313-99283C9EF437}" destId="{81EF0817-0CF9-4059-A2E8-DCA32FB278CE}" srcOrd="0" destOrd="0" presId="urn:microsoft.com/office/officeart/2005/8/layout/lProcess2"/>
    <dgm:cxn modelId="{6A95C4A3-E31B-452C-876E-2C1A9B71417A}" type="presParOf" srcId="{81EF0817-0CF9-4059-A2E8-DCA32FB278CE}" destId="{7EBCD252-9E27-4818-9C8A-FA34BD8DD5E5}" srcOrd="0" destOrd="0" presId="urn:microsoft.com/office/officeart/2005/8/layout/lProcess2"/>
    <dgm:cxn modelId="{602F5164-9851-4954-BFCC-DB314498240F}" type="presParOf" srcId="{EC26EE03-DB5D-4EAC-A2AF-6F4D137B5412}" destId="{4F5A1F05-7359-4790-A1D3-64614E318331}" srcOrd="1" destOrd="0" presId="urn:microsoft.com/office/officeart/2005/8/layout/lProcess2"/>
    <dgm:cxn modelId="{4D6EDB0C-0ABB-489D-B5D2-48551891EF52}" type="presParOf" srcId="{EC26EE03-DB5D-4EAC-A2AF-6F4D137B5412}" destId="{5B097914-E104-4E1F-A503-FE1C8DE17216}" srcOrd="2" destOrd="0" presId="urn:microsoft.com/office/officeart/2005/8/layout/lProcess2"/>
    <dgm:cxn modelId="{BD48C59E-C664-4EEE-9848-B3EF66102AC2}" type="presParOf" srcId="{5B097914-E104-4E1F-A503-FE1C8DE17216}" destId="{6EA30FB0-D096-41A0-82F6-52CE5F2CFBDF}" srcOrd="0" destOrd="0" presId="urn:microsoft.com/office/officeart/2005/8/layout/lProcess2"/>
    <dgm:cxn modelId="{C9648CE4-896F-4602-90F9-6AD9944FE06D}" type="presParOf" srcId="{5B097914-E104-4E1F-A503-FE1C8DE17216}" destId="{31CE5483-CECE-4B7F-8C86-BF23B7127B1D}" srcOrd="1" destOrd="0" presId="urn:microsoft.com/office/officeart/2005/8/layout/lProcess2"/>
    <dgm:cxn modelId="{C71C2A04-AA60-400C-AEC6-058F412FF192}" type="presParOf" srcId="{5B097914-E104-4E1F-A503-FE1C8DE17216}" destId="{348406FD-C2B6-4BF9-B3B2-B22C9DC64082}" srcOrd="2" destOrd="0" presId="urn:microsoft.com/office/officeart/2005/8/layout/lProcess2"/>
    <dgm:cxn modelId="{9111C8D3-8184-4525-AA40-915EE2A5752B}" type="presParOf" srcId="{348406FD-C2B6-4BF9-B3B2-B22C9DC64082}" destId="{B8854FDF-6000-4A53-A541-E633E61E3525}" srcOrd="0" destOrd="0" presId="urn:microsoft.com/office/officeart/2005/8/layout/lProcess2"/>
    <dgm:cxn modelId="{1BB27548-6A74-4DF1-8B17-96F84F19E287}" type="presParOf" srcId="{B8854FDF-6000-4A53-A541-E633E61E3525}" destId="{1598B76D-6A56-4970-81AD-BB6F33780D91}" srcOrd="0" destOrd="0" presId="urn:microsoft.com/office/officeart/2005/8/layout/lProcess2"/>
    <dgm:cxn modelId="{B703E941-8029-4DC9-A038-433AB8CAE32C}" type="presParOf" srcId="{EC26EE03-DB5D-4EAC-A2AF-6F4D137B5412}" destId="{CF46E08B-C833-47A9-A17B-DE9E9ECAA950}" srcOrd="3" destOrd="0" presId="urn:microsoft.com/office/officeart/2005/8/layout/lProcess2"/>
    <dgm:cxn modelId="{563CE062-E8B1-47E0-94E6-8DCA13610727}" type="presParOf" srcId="{EC26EE03-DB5D-4EAC-A2AF-6F4D137B5412}" destId="{AE2C8FEA-7032-41DB-B319-83729326B38F}" srcOrd="4" destOrd="0" presId="urn:microsoft.com/office/officeart/2005/8/layout/lProcess2"/>
    <dgm:cxn modelId="{08170461-A468-4A4F-B219-71A3E5E353DB}" type="presParOf" srcId="{AE2C8FEA-7032-41DB-B319-83729326B38F}" destId="{A1C1E7E8-401F-421E-9473-1B30F4F19119}" srcOrd="0" destOrd="0" presId="urn:microsoft.com/office/officeart/2005/8/layout/lProcess2"/>
    <dgm:cxn modelId="{7EE472E5-84AD-455D-985B-44D8A27BBFAE}" type="presParOf" srcId="{AE2C8FEA-7032-41DB-B319-83729326B38F}" destId="{5F534D3C-C27D-4618-AB96-881D600183C0}" srcOrd="1" destOrd="0" presId="urn:microsoft.com/office/officeart/2005/8/layout/lProcess2"/>
    <dgm:cxn modelId="{D704AD2A-866C-425E-ACD0-806DA2EFD810}" type="presParOf" srcId="{AE2C8FEA-7032-41DB-B319-83729326B38F}" destId="{CD7D85A1-B00F-4314-A60B-24D981661E11}" srcOrd="2" destOrd="0" presId="urn:microsoft.com/office/officeart/2005/8/layout/lProcess2"/>
    <dgm:cxn modelId="{3F2CBE06-BC8D-4578-A143-36BF629284C3}" type="presParOf" srcId="{CD7D85A1-B00F-4314-A60B-24D981661E11}" destId="{1A66AFED-4667-42D7-A8CB-818D457B73DB}" srcOrd="0" destOrd="0" presId="urn:microsoft.com/office/officeart/2005/8/layout/lProcess2"/>
    <dgm:cxn modelId="{7D4A1C6F-221E-471E-8DF9-DA4FCBCB2B4E}" type="presParOf" srcId="{1A66AFED-4667-42D7-A8CB-818D457B73DB}" destId="{DB1E75F2-10E5-4E3D-B9D5-EC29DA5828B9}" srcOrd="0" destOrd="0" presId="urn:microsoft.com/office/officeart/2005/8/layout/lProcess2"/>
    <dgm:cxn modelId="{4BD2E9FC-7E10-4DD8-A9C3-F5DB026D5071}" type="presParOf" srcId="{EC26EE03-DB5D-4EAC-A2AF-6F4D137B5412}" destId="{95449679-87B4-4740-B5D6-F1CA67F135E2}" srcOrd="5" destOrd="0" presId="urn:microsoft.com/office/officeart/2005/8/layout/lProcess2"/>
    <dgm:cxn modelId="{112EA0D6-28AC-415A-8B9B-F9D0DEF728C4}" type="presParOf" srcId="{EC26EE03-DB5D-4EAC-A2AF-6F4D137B5412}" destId="{C9D03B8B-4263-4DFF-BD27-240589D50418}" srcOrd="6" destOrd="0" presId="urn:microsoft.com/office/officeart/2005/8/layout/lProcess2"/>
    <dgm:cxn modelId="{5357D475-DFB7-4169-8305-753BCC137725}" type="presParOf" srcId="{C9D03B8B-4263-4DFF-BD27-240589D50418}" destId="{B8DA62B7-35B9-4B08-B7F3-2FAAEFEB2538}" srcOrd="0" destOrd="0" presId="urn:microsoft.com/office/officeart/2005/8/layout/lProcess2"/>
    <dgm:cxn modelId="{74786FAF-BD8E-46E9-BBC2-66641AC0551E}" type="presParOf" srcId="{C9D03B8B-4263-4DFF-BD27-240589D50418}" destId="{60D02838-3CCF-4E1D-B610-8CC83838FE82}" srcOrd="1" destOrd="0" presId="urn:microsoft.com/office/officeart/2005/8/layout/lProcess2"/>
    <dgm:cxn modelId="{8B873D6C-00C0-407E-8869-C81C3EDA1CA9}" type="presParOf" srcId="{C9D03B8B-4263-4DFF-BD27-240589D50418}" destId="{91946DD7-2123-4221-AFA8-84539409B027}" srcOrd="2" destOrd="0" presId="urn:microsoft.com/office/officeart/2005/8/layout/lProcess2"/>
    <dgm:cxn modelId="{B48FD3B2-B378-4C68-B9A2-22AD58EB874F}" type="presParOf" srcId="{91946DD7-2123-4221-AFA8-84539409B027}" destId="{FEB2B117-A899-4EA4-9A41-93A821311CC6}" srcOrd="0" destOrd="0" presId="urn:microsoft.com/office/officeart/2005/8/layout/lProcess2"/>
    <dgm:cxn modelId="{6D1419C8-CAA2-4CA2-ABF2-66717A03999A}" type="presParOf" srcId="{FEB2B117-A899-4EA4-9A41-93A821311CC6}" destId="{61D39BBD-5E86-49DE-94A6-F2E690A4D88E}" srcOrd="0" destOrd="0" presId="urn:microsoft.com/office/officeart/2005/8/layout/lProcess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EA020B-25C3-415F-BD5A-EFB6245911B8}" type="doc">
      <dgm:prSet loTypeId="urn:microsoft.com/office/officeart/2008/layout/VerticalCurvedList" loCatId="list" qsTypeId="urn:microsoft.com/office/officeart/2005/8/quickstyle/simple5" qsCatId="simple" csTypeId="urn:microsoft.com/office/officeart/2005/8/colors/accent1_1" csCatId="accent1" phldr="1"/>
      <dgm:spPr/>
      <dgm:t>
        <a:bodyPr/>
        <a:lstStyle/>
        <a:p>
          <a:endParaRPr lang="pt-BR"/>
        </a:p>
      </dgm:t>
    </dgm:pt>
    <dgm:pt modelId="{7D4A240F-115A-4C03-8183-4BD216BC8386}">
      <dgm:prSet phldrT="[Texto]" custT="1"/>
      <dgm:spPr/>
      <dgm:t>
        <a:bodyPr/>
        <a:lstStyle/>
        <a:p>
          <a:r>
            <a:rPr lang="pt-PT" sz="1200">
              <a:latin typeface="+mn-lt"/>
              <a:cs typeface="Times New Roman" panose="02020603050405020304" pitchFamily="18" charset="0"/>
            </a:rPr>
            <a:t>COSO ERM:2017 </a:t>
          </a:r>
          <a:endParaRPr lang="pt-BR" sz="1200">
            <a:latin typeface="+mn-lt"/>
            <a:cs typeface="Times New Roman" panose="02020603050405020304" pitchFamily="18" charset="0"/>
          </a:endParaRPr>
        </a:p>
      </dgm:t>
    </dgm:pt>
    <dgm:pt modelId="{7DB7EFA5-C9D0-4058-9128-66FC7332DB4E}" type="parTrans" cxnId="{8C532657-5804-4A1E-A0F5-1DFEA9021227}">
      <dgm:prSet/>
      <dgm:spPr/>
      <dgm:t>
        <a:bodyPr/>
        <a:lstStyle/>
        <a:p>
          <a:endParaRPr lang="pt-BR" sz="1400">
            <a:latin typeface="Times New Roman" panose="02020603050405020304" pitchFamily="18" charset="0"/>
            <a:cs typeface="Times New Roman" panose="02020603050405020304" pitchFamily="18" charset="0"/>
          </a:endParaRPr>
        </a:p>
      </dgm:t>
    </dgm:pt>
    <dgm:pt modelId="{7EF7F28F-7398-4CA5-A0DD-16CF8AF54D82}" type="sibTrans" cxnId="{8C532657-5804-4A1E-A0F5-1DFEA9021227}">
      <dgm:prSet/>
      <dgm:spPr/>
      <dgm:t>
        <a:bodyPr/>
        <a:lstStyle/>
        <a:p>
          <a:endParaRPr lang="pt-BR" sz="1400">
            <a:latin typeface="Times New Roman" panose="02020603050405020304" pitchFamily="18" charset="0"/>
            <a:cs typeface="Times New Roman" panose="02020603050405020304" pitchFamily="18" charset="0"/>
          </a:endParaRPr>
        </a:p>
      </dgm:t>
    </dgm:pt>
    <dgm:pt modelId="{9E853DE2-24FA-4C3F-9B41-F8BB82D00683}">
      <dgm:prSet phldrT="[Texto]" custT="1"/>
      <dgm:spPr/>
      <dgm:t>
        <a:bodyPr/>
        <a:lstStyle/>
        <a:p>
          <a:r>
            <a:rPr lang="pt-PT" sz="1200">
              <a:latin typeface="+mn-lt"/>
              <a:cs typeface="Times New Roman" panose="02020603050405020304" pitchFamily="18" charset="0"/>
            </a:rPr>
            <a:t>A </a:t>
          </a:r>
          <a:r>
            <a:rPr lang="pt-PT" sz="1200" u="sng">
              <a:latin typeface="+mn-lt"/>
              <a:cs typeface="Times New Roman" panose="02020603050405020304" pitchFamily="18" charset="0"/>
            </a:rPr>
            <a:t>integração</a:t>
          </a:r>
          <a:r>
            <a:rPr lang="pt-PT" sz="1200">
              <a:latin typeface="+mn-lt"/>
              <a:cs typeface="Times New Roman" panose="02020603050405020304" pitchFamily="18" charset="0"/>
            </a:rPr>
            <a:t> permite que a organização tome decisões mais adequadas, com a rapidez e o potencial de interromper riscos isolados, buscando novas oportunidades.</a:t>
          </a:r>
          <a:endParaRPr lang="pt-BR" sz="1200">
            <a:latin typeface="+mn-lt"/>
            <a:cs typeface="Times New Roman" panose="02020603050405020304" pitchFamily="18" charset="0"/>
          </a:endParaRPr>
        </a:p>
      </dgm:t>
    </dgm:pt>
    <dgm:pt modelId="{C82800E5-5027-4140-8F87-84BC619A588D}" type="parTrans" cxnId="{E65B8591-7F5F-4F78-8C90-989A42B95519}">
      <dgm:prSet/>
      <dgm:spPr/>
      <dgm:t>
        <a:bodyPr/>
        <a:lstStyle/>
        <a:p>
          <a:endParaRPr lang="pt-BR" sz="1400">
            <a:latin typeface="Times New Roman" panose="02020603050405020304" pitchFamily="18" charset="0"/>
            <a:cs typeface="Times New Roman" panose="02020603050405020304" pitchFamily="18" charset="0"/>
          </a:endParaRPr>
        </a:p>
      </dgm:t>
    </dgm:pt>
    <dgm:pt modelId="{866ED19E-CCB6-4F09-A1BD-9FA564C8DFA6}" type="sibTrans" cxnId="{E65B8591-7F5F-4F78-8C90-989A42B95519}">
      <dgm:prSet/>
      <dgm:spPr/>
      <dgm:t>
        <a:bodyPr/>
        <a:lstStyle/>
        <a:p>
          <a:endParaRPr lang="pt-BR" sz="1400">
            <a:latin typeface="Times New Roman" panose="02020603050405020304" pitchFamily="18" charset="0"/>
            <a:cs typeface="Times New Roman" panose="02020603050405020304" pitchFamily="18" charset="0"/>
          </a:endParaRPr>
        </a:p>
      </dgm:t>
    </dgm:pt>
    <dgm:pt modelId="{2A58DCF9-D385-4467-BFCD-D7C896996927}">
      <dgm:prSet phldrT="[Texto]" custT="1"/>
      <dgm:spPr/>
      <dgm:t>
        <a:bodyPr/>
        <a:lstStyle/>
        <a:p>
          <a:endParaRPr lang="pt-BR" sz="1400">
            <a:latin typeface="Times New Roman" panose="02020603050405020304" pitchFamily="18" charset="0"/>
            <a:cs typeface="Times New Roman" panose="02020603050405020304" pitchFamily="18" charset="0"/>
          </a:endParaRPr>
        </a:p>
      </dgm:t>
    </dgm:pt>
    <dgm:pt modelId="{B4F0E950-5B4F-4A77-9B2D-1EDC3DEC9250}" type="parTrans" cxnId="{039266A7-257B-41E4-B64C-063B659BC087}">
      <dgm:prSet/>
      <dgm:spPr/>
      <dgm:t>
        <a:bodyPr/>
        <a:lstStyle/>
        <a:p>
          <a:endParaRPr lang="pt-BR" sz="1400">
            <a:latin typeface="Times New Roman" panose="02020603050405020304" pitchFamily="18" charset="0"/>
            <a:cs typeface="Times New Roman" panose="02020603050405020304" pitchFamily="18" charset="0"/>
          </a:endParaRPr>
        </a:p>
      </dgm:t>
    </dgm:pt>
    <dgm:pt modelId="{F7083A57-11A9-4B3E-A0C9-C4AB5BA0C2FF}" type="sibTrans" cxnId="{039266A7-257B-41E4-B64C-063B659BC087}">
      <dgm:prSet/>
      <dgm:spPr/>
      <dgm:t>
        <a:bodyPr/>
        <a:lstStyle/>
        <a:p>
          <a:endParaRPr lang="pt-BR" sz="1400">
            <a:latin typeface="Times New Roman" panose="02020603050405020304" pitchFamily="18" charset="0"/>
            <a:cs typeface="Times New Roman" panose="02020603050405020304" pitchFamily="18" charset="0"/>
          </a:endParaRPr>
        </a:p>
      </dgm:t>
    </dgm:pt>
    <dgm:pt modelId="{A0AE5160-F642-4B57-A9EF-12FDC6B9E7E0}">
      <dgm:prSet phldrT="[Texto]" custT="1"/>
      <dgm:spPr/>
      <dgm:t>
        <a:bodyPr/>
        <a:lstStyle/>
        <a:p>
          <a:r>
            <a:rPr lang="pt-PT" sz="1200">
              <a:latin typeface="+mn-lt"/>
              <a:cs typeface="Times New Roman" panose="02020603050405020304" pitchFamily="18" charset="0"/>
            </a:rPr>
            <a:t>Norma ABNT ISO 31000:2018</a:t>
          </a:r>
          <a:endParaRPr lang="pt-BR" sz="1200">
            <a:latin typeface="+mn-lt"/>
            <a:cs typeface="Times New Roman" panose="02020603050405020304" pitchFamily="18" charset="0"/>
          </a:endParaRPr>
        </a:p>
      </dgm:t>
    </dgm:pt>
    <dgm:pt modelId="{7B0F25C7-A3A3-42B5-BDE7-0ABD068C6238}" type="sibTrans" cxnId="{173173D6-8037-49D2-B097-DF1C74CE9755}">
      <dgm:prSet/>
      <dgm:spPr/>
      <dgm:t>
        <a:bodyPr/>
        <a:lstStyle/>
        <a:p>
          <a:endParaRPr lang="pt-BR" sz="1400">
            <a:latin typeface="Times New Roman" panose="02020603050405020304" pitchFamily="18" charset="0"/>
            <a:cs typeface="Times New Roman" panose="02020603050405020304" pitchFamily="18" charset="0"/>
          </a:endParaRPr>
        </a:p>
      </dgm:t>
    </dgm:pt>
    <dgm:pt modelId="{2EBB29D0-9C7B-4991-A491-12EF1E82C1E5}" type="parTrans" cxnId="{173173D6-8037-49D2-B097-DF1C74CE9755}">
      <dgm:prSet/>
      <dgm:spPr/>
      <dgm:t>
        <a:bodyPr/>
        <a:lstStyle/>
        <a:p>
          <a:endParaRPr lang="pt-BR" sz="1400">
            <a:latin typeface="Times New Roman" panose="02020603050405020304" pitchFamily="18" charset="0"/>
            <a:cs typeface="Times New Roman" panose="02020603050405020304" pitchFamily="18" charset="0"/>
          </a:endParaRPr>
        </a:p>
      </dgm:t>
    </dgm:pt>
    <dgm:pt modelId="{F6A3B3B8-7FE3-44ED-8F16-6F0A7BD68D14}">
      <dgm:prSet custT="1"/>
      <dgm:spPr/>
      <dgm:t>
        <a:bodyPr/>
        <a:lstStyle/>
        <a:p>
          <a:endParaRPr lang="pt-BR" sz="1200">
            <a:latin typeface="+mn-lt"/>
            <a:cs typeface="Times New Roman" panose="02020603050405020304" pitchFamily="18" charset="0"/>
          </a:endParaRPr>
        </a:p>
      </dgm:t>
    </dgm:pt>
    <dgm:pt modelId="{F378EA20-A8FA-409A-A440-601C5C82057B}" type="parTrans" cxnId="{08B92EB8-05EB-43C9-9AF0-6D87B4093270}">
      <dgm:prSet/>
      <dgm:spPr/>
      <dgm:t>
        <a:bodyPr/>
        <a:lstStyle/>
        <a:p>
          <a:endParaRPr lang="pt-BR"/>
        </a:p>
      </dgm:t>
    </dgm:pt>
    <dgm:pt modelId="{BBA79E50-8984-4829-B3BF-CFA83424868A}" type="sibTrans" cxnId="{08B92EB8-05EB-43C9-9AF0-6D87B4093270}">
      <dgm:prSet/>
      <dgm:spPr/>
      <dgm:t>
        <a:bodyPr/>
        <a:lstStyle/>
        <a:p>
          <a:endParaRPr lang="pt-BR"/>
        </a:p>
      </dgm:t>
    </dgm:pt>
    <dgm:pt modelId="{D60449D1-41EC-4BCB-81F1-3291F0EB13B8}">
      <dgm:prSet phldrT="[Texto]" custT="1"/>
      <dgm:spPr/>
      <dgm:t>
        <a:bodyPr/>
        <a:lstStyle/>
        <a:p>
          <a:r>
            <a:rPr lang="pt-BR" sz="1200">
              <a:latin typeface="+mn-lt"/>
              <a:cs typeface="Times New Roman" panose="02020603050405020304" pitchFamily="18" charset="0"/>
            </a:rPr>
            <a:t>A gestão de riscos é parte </a:t>
          </a:r>
          <a:r>
            <a:rPr lang="pt-BR" sz="1200" u="sng">
              <a:latin typeface="+mn-lt"/>
              <a:cs typeface="Times New Roman" panose="02020603050405020304" pitchFamily="18" charset="0"/>
            </a:rPr>
            <a:t>integrante</a:t>
          </a:r>
          <a:r>
            <a:rPr lang="pt-BR" sz="1200">
              <a:latin typeface="+mn-lt"/>
              <a:cs typeface="Times New Roman" panose="02020603050405020304" pitchFamily="18" charset="0"/>
            </a:rPr>
            <a:t> de todas as atividades organizacionais.</a:t>
          </a:r>
        </a:p>
      </dgm:t>
    </dgm:pt>
    <dgm:pt modelId="{C9D8B702-BCBC-4774-82C9-99B4A53FF2F2}" type="parTrans" cxnId="{5285DA41-F469-4528-B4F1-FB5D750FDFBD}">
      <dgm:prSet/>
      <dgm:spPr/>
      <dgm:t>
        <a:bodyPr/>
        <a:lstStyle/>
        <a:p>
          <a:endParaRPr lang="pt-BR"/>
        </a:p>
      </dgm:t>
    </dgm:pt>
    <dgm:pt modelId="{D1F3A1F0-6EBA-413B-A928-8AA6A6102526}" type="sibTrans" cxnId="{5285DA41-F469-4528-B4F1-FB5D750FDFBD}">
      <dgm:prSet/>
      <dgm:spPr/>
      <dgm:t>
        <a:bodyPr/>
        <a:lstStyle/>
        <a:p>
          <a:endParaRPr lang="pt-BR"/>
        </a:p>
      </dgm:t>
    </dgm:pt>
    <dgm:pt modelId="{3B49F50F-242F-4D56-8796-5E6DD93DB6D8}" type="pres">
      <dgm:prSet presAssocID="{FBEA020B-25C3-415F-BD5A-EFB6245911B8}" presName="Name0" presStyleCnt="0">
        <dgm:presLayoutVars>
          <dgm:chMax val="7"/>
          <dgm:chPref val="7"/>
          <dgm:dir/>
        </dgm:presLayoutVars>
      </dgm:prSet>
      <dgm:spPr/>
    </dgm:pt>
    <dgm:pt modelId="{524BBF24-A5CA-4F32-8015-D728AAB64521}" type="pres">
      <dgm:prSet presAssocID="{FBEA020B-25C3-415F-BD5A-EFB6245911B8}" presName="Name1" presStyleCnt="0"/>
      <dgm:spPr/>
    </dgm:pt>
    <dgm:pt modelId="{E773FBF6-CDB3-4E6E-BCEE-1AB6068E00B7}" type="pres">
      <dgm:prSet presAssocID="{FBEA020B-25C3-415F-BD5A-EFB6245911B8}" presName="cycle" presStyleCnt="0"/>
      <dgm:spPr/>
    </dgm:pt>
    <dgm:pt modelId="{C2E4EA1B-69EF-4FB4-80A5-CC9E428E2B1A}" type="pres">
      <dgm:prSet presAssocID="{FBEA020B-25C3-415F-BD5A-EFB6245911B8}" presName="srcNode" presStyleLbl="node1" presStyleIdx="0" presStyleCnt="2"/>
      <dgm:spPr/>
    </dgm:pt>
    <dgm:pt modelId="{64A109A2-B8AE-4E59-8543-B4B1ADAAFDC4}" type="pres">
      <dgm:prSet presAssocID="{FBEA020B-25C3-415F-BD5A-EFB6245911B8}" presName="conn" presStyleLbl="parChTrans1D2" presStyleIdx="0" presStyleCnt="1"/>
      <dgm:spPr/>
    </dgm:pt>
    <dgm:pt modelId="{5BF9BF23-F859-4A7B-BDBA-4DC6D1D6E749}" type="pres">
      <dgm:prSet presAssocID="{FBEA020B-25C3-415F-BD5A-EFB6245911B8}" presName="extraNode" presStyleLbl="node1" presStyleIdx="0" presStyleCnt="2"/>
      <dgm:spPr/>
    </dgm:pt>
    <dgm:pt modelId="{B727E06F-7EA7-4990-A3C7-ABCAC90EF25B}" type="pres">
      <dgm:prSet presAssocID="{FBEA020B-25C3-415F-BD5A-EFB6245911B8}" presName="dstNode" presStyleLbl="node1" presStyleIdx="0" presStyleCnt="2"/>
      <dgm:spPr/>
    </dgm:pt>
    <dgm:pt modelId="{2BC2294F-9099-4F5E-82FA-ACA0E3A432B2}" type="pres">
      <dgm:prSet presAssocID="{A0AE5160-F642-4B57-A9EF-12FDC6B9E7E0}" presName="text_1" presStyleLbl="node1" presStyleIdx="0" presStyleCnt="2">
        <dgm:presLayoutVars>
          <dgm:bulletEnabled val="1"/>
        </dgm:presLayoutVars>
      </dgm:prSet>
      <dgm:spPr/>
    </dgm:pt>
    <dgm:pt modelId="{E33CF0E1-15B8-4B7C-A559-C3D5074E315F}" type="pres">
      <dgm:prSet presAssocID="{A0AE5160-F642-4B57-A9EF-12FDC6B9E7E0}" presName="accent_1" presStyleCnt="0"/>
      <dgm:spPr/>
    </dgm:pt>
    <dgm:pt modelId="{C0D34E53-489E-4A22-A2D9-7B584DF5F0DA}" type="pres">
      <dgm:prSet presAssocID="{A0AE5160-F642-4B57-A9EF-12FDC6B9E7E0}" presName="accentRepeatNode" presStyleLbl="solidFgAcc1" presStyleIdx="0" presStyleCnt="2"/>
      <dgm:spPr>
        <a:blipFill rotWithShape="0">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pt>
    <dgm:pt modelId="{CAD66125-DCB1-4364-A63C-70A7560586D0}" type="pres">
      <dgm:prSet presAssocID="{7D4A240F-115A-4C03-8183-4BD216BC8386}" presName="text_2" presStyleLbl="node1" presStyleIdx="1" presStyleCnt="2">
        <dgm:presLayoutVars>
          <dgm:bulletEnabled val="1"/>
        </dgm:presLayoutVars>
      </dgm:prSet>
      <dgm:spPr/>
    </dgm:pt>
    <dgm:pt modelId="{DE2DCD96-4501-4B2F-8E99-D99A92BA251F}" type="pres">
      <dgm:prSet presAssocID="{7D4A240F-115A-4C03-8183-4BD216BC8386}" presName="accent_2" presStyleCnt="0"/>
      <dgm:spPr/>
    </dgm:pt>
    <dgm:pt modelId="{3DC268DF-71E9-4E0D-B04D-B07764191AA1}" type="pres">
      <dgm:prSet presAssocID="{7D4A240F-115A-4C03-8183-4BD216BC8386}" presName="accentRepeatNode" presStyleLbl="solidFgAcc1" presStyleIdx="1" presStyleCnt="2"/>
      <dgm:spPr>
        <a:blipFill rotWithShape="0">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pt>
  </dgm:ptLst>
  <dgm:cxnLst>
    <dgm:cxn modelId="{5285DA41-F469-4528-B4F1-FB5D750FDFBD}" srcId="{A0AE5160-F642-4B57-A9EF-12FDC6B9E7E0}" destId="{D60449D1-41EC-4BCB-81F1-3291F0EB13B8}" srcOrd="0" destOrd="0" parTransId="{C9D8B702-BCBC-4774-82C9-99B4A53FF2F2}" sibTransId="{D1F3A1F0-6EBA-413B-A928-8AA6A6102526}"/>
    <dgm:cxn modelId="{C87C9F44-86EB-48DF-852B-305DCDE78FD7}" type="presOf" srcId="{D1F3A1F0-6EBA-413B-A928-8AA6A6102526}" destId="{64A109A2-B8AE-4E59-8543-B4B1ADAAFDC4}" srcOrd="0" destOrd="0" presId="urn:microsoft.com/office/officeart/2008/layout/VerticalCurvedList"/>
    <dgm:cxn modelId="{D91B474A-5D4A-4715-880A-AD9E63F5B3D8}" type="presOf" srcId="{7D4A240F-115A-4C03-8183-4BD216BC8386}" destId="{CAD66125-DCB1-4364-A63C-70A7560586D0}" srcOrd="0" destOrd="0" presId="urn:microsoft.com/office/officeart/2008/layout/VerticalCurvedList"/>
    <dgm:cxn modelId="{DAEF0154-89B7-4AC1-8FDD-12F5467E61DC}" type="presOf" srcId="{2A58DCF9-D385-4467-BFCD-D7C896996927}" destId="{CAD66125-DCB1-4364-A63C-70A7560586D0}" srcOrd="0" destOrd="2" presId="urn:microsoft.com/office/officeart/2008/layout/VerticalCurvedList"/>
    <dgm:cxn modelId="{8C532657-5804-4A1E-A0F5-1DFEA9021227}" srcId="{FBEA020B-25C3-415F-BD5A-EFB6245911B8}" destId="{7D4A240F-115A-4C03-8183-4BD216BC8386}" srcOrd="1" destOrd="0" parTransId="{7DB7EFA5-C9D0-4058-9128-66FC7332DB4E}" sibTransId="{7EF7F28F-7398-4CA5-A0DD-16CF8AF54D82}"/>
    <dgm:cxn modelId="{353E7689-4A3D-44C6-9C15-4E43104582BE}" type="presOf" srcId="{FBEA020B-25C3-415F-BD5A-EFB6245911B8}" destId="{3B49F50F-242F-4D56-8796-5E6DD93DB6D8}" srcOrd="0" destOrd="0" presId="urn:microsoft.com/office/officeart/2008/layout/VerticalCurvedList"/>
    <dgm:cxn modelId="{E65B8591-7F5F-4F78-8C90-989A42B95519}" srcId="{7D4A240F-115A-4C03-8183-4BD216BC8386}" destId="{9E853DE2-24FA-4C3F-9B41-F8BB82D00683}" srcOrd="0" destOrd="0" parTransId="{C82800E5-5027-4140-8F87-84BC619A588D}" sibTransId="{866ED19E-CCB6-4F09-A1BD-9FA564C8DFA6}"/>
    <dgm:cxn modelId="{039266A7-257B-41E4-B64C-063B659BC087}" srcId="{7D4A240F-115A-4C03-8183-4BD216BC8386}" destId="{2A58DCF9-D385-4467-BFCD-D7C896996927}" srcOrd="1" destOrd="0" parTransId="{B4F0E950-5B4F-4A77-9B2D-1EDC3DEC9250}" sibTransId="{F7083A57-11A9-4B3E-A0C9-C4AB5BA0C2FF}"/>
    <dgm:cxn modelId="{F2B261AF-84EB-4ECC-90B7-2E2879E83180}" type="presOf" srcId="{9E853DE2-24FA-4C3F-9B41-F8BB82D00683}" destId="{CAD66125-DCB1-4364-A63C-70A7560586D0}" srcOrd="0" destOrd="1" presId="urn:microsoft.com/office/officeart/2008/layout/VerticalCurvedList"/>
    <dgm:cxn modelId="{08B92EB8-05EB-43C9-9AF0-6D87B4093270}" srcId="{A0AE5160-F642-4B57-A9EF-12FDC6B9E7E0}" destId="{F6A3B3B8-7FE3-44ED-8F16-6F0A7BD68D14}" srcOrd="1" destOrd="0" parTransId="{F378EA20-A8FA-409A-A440-601C5C82057B}" sibTransId="{BBA79E50-8984-4829-B3BF-CFA83424868A}"/>
    <dgm:cxn modelId="{173173D6-8037-49D2-B097-DF1C74CE9755}" srcId="{FBEA020B-25C3-415F-BD5A-EFB6245911B8}" destId="{A0AE5160-F642-4B57-A9EF-12FDC6B9E7E0}" srcOrd="0" destOrd="0" parTransId="{2EBB29D0-9C7B-4991-A491-12EF1E82C1E5}" sibTransId="{7B0F25C7-A3A3-42B5-BDE7-0ABD068C6238}"/>
    <dgm:cxn modelId="{D3AE0CDB-F6A0-4901-99E0-1685F5E93B7D}" type="presOf" srcId="{D60449D1-41EC-4BCB-81F1-3291F0EB13B8}" destId="{2BC2294F-9099-4F5E-82FA-ACA0E3A432B2}" srcOrd="0" destOrd="1" presId="urn:microsoft.com/office/officeart/2008/layout/VerticalCurvedList"/>
    <dgm:cxn modelId="{F5B8FBDC-686E-425A-BF9D-A5172BF4D798}" type="presOf" srcId="{F6A3B3B8-7FE3-44ED-8F16-6F0A7BD68D14}" destId="{2BC2294F-9099-4F5E-82FA-ACA0E3A432B2}" srcOrd="0" destOrd="2" presId="urn:microsoft.com/office/officeart/2008/layout/VerticalCurvedList"/>
    <dgm:cxn modelId="{FF56E4E0-F69A-4604-B582-777BA66CD048}" type="presOf" srcId="{A0AE5160-F642-4B57-A9EF-12FDC6B9E7E0}" destId="{2BC2294F-9099-4F5E-82FA-ACA0E3A432B2}" srcOrd="0" destOrd="0" presId="urn:microsoft.com/office/officeart/2008/layout/VerticalCurvedList"/>
    <dgm:cxn modelId="{A2058FD1-547E-4E04-8652-FC747CFE9C86}" type="presParOf" srcId="{3B49F50F-242F-4D56-8796-5E6DD93DB6D8}" destId="{524BBF24-A5CA-4F32-8015-D728AAB64521}" srcOrd="0" destOrd="0" presId="urn:microsoft.com/office/officeart/2008/layout/VerticalCurvedList"/>
    <dgm:cxn modelId="{FBF3118D-FAAD-4FC5-8D18-0529476EEF64}" type="presParOf" srcId="{524BBF24-A5CA-4F32-8015-D728AAB64521}" destId="{E773FBF6-CDB3-4E6E-BCEE-1AB6068E00B7}" srcOrd="0" destOrd="0" presId="urn:microsoft.com/office/officeart/2008/layout/VerticalCurvedList"/>
    <dgm:cxn modelId="{B9FF6C92-C7D0-4D1D-8F74-5C22E5CE453F}" type="presParOf" srcId="{E773FBF6-CDB3-4E6E-BCEE-1AB6068E00B7}" destId="{C2E4EA1B-69EF-4FB4-80A5-CC9E428E2B1A}" srcOrd="0" destOrd="0" presId="urn:microsoft.com/office/officeart/2008/layout/VerticalCurvedList"/>
    <dgm:cxn modelId="{6FF426AC-A896-49ED-95D0-C64B280A3EA1}" type="presParOf" srcId="{E773FBF6-CDB3-4E6E-BCEE-1AB6068E00B7}" destId="{64A109A2-B8AE-4E59-8543-B4B1ADAAFDC4}" srcOrd="1" destOrd="0" presId="urn:microsoft.com/office/officeart/2008/layout/VerticalCurvedList"/>
    <dgm:cxn modelId="{934DC58F-57D6-45BC-B636-172A2AD59483}" type="presParOf" srcId="{E773FBF6-CDB3-4E6E-BCEE-1AB6068E00B7}" destId="{5BF9BF23-F859-4A7B-BDBA-4DC6D1D6E749}" srcOrd="2" destOrd="0" presId="urn:microsoft.com/office/officeart/2008/layout/VerticalCurvedList"/>
    <dgm:cxn modelId="{301A473C-DB45-4B64-BDE2-F56CB0BD318E}" type="presParOf" srcId="{E773FBF6-CDB3-4E6E-BCEE-1AB6068E00B7}" destId="{B727E06F-7EA7-4990-A3C7-ABCAC90EF25B}" srcOrd="3" destOrd="0" presId="urn:microsoft.com/office/officeart/2008/layout/VerticalCurvedList"/>
    <dgm:cxn modelId="{C082B9FA-6962-4970-A0EC-A88FE9C2288B}" type="presParOf" srcId="{524BBF24-A5CA-4F32-8015-D728AAB64521}" destId="{2BC2294F-9099-4F5E-82FA-ACA0E3A432B2}" srcOrd="1" destOrd="0" presId="urn:microsoft.com/office/officeart/2008/layout/VerticalCurvedList"/>
    <dgm:cxn modelId="{04A62EBC-A5E8-42EC-94E0-BF58D54B1123}" type="presParOf" srcId="{524BBF24-A5CA-4F32-8015-D728AAB64521}" destId="{E33CF0E1-15B8-4B7C-A559-C3D5074E315F}" srcOrd="2" destOrd="0" presId="urn:microsoft.com/office/officeart/2008/layout/VerticalCurvedList"/>
    <dgm:cxn modelId="{9F4E5588-69FB-494C-9D2F-AACB04A37871}" type="presParOf" srcId="{E33CF0E1-15B8-4B7C-A559-C3D5074E315F}" destId="{C0D34E53-489E-4A22-A2D9-7B584DF5F0DA}" srcOrd="0" destOrd="0" presId="urn:microsoft.com/office/officeart/2008/layout/VerticalCurvedList"/>
    <dgm:cxn modelId="{DC4DB068-8C3F-4D72-A3E9-E032F172E4CE}" type="presParOf" srcId="{524BBF24-A5CA-4F32-8015-D728AAB64521}" destId="{CAD66125-DCB1-4364-A63C-70A7560586D0}" srcOrd="3" destOrd="0" presId="urn:microsoft.com/office/officeart/2008/layout/VerticalCurvedList"/>
    <dgm:cxn modelId="{F6CE5C75-9D72-4345-B5BD-096321559592}" type="presParOf" srcId="{524BBF24-A5CA-4F32-8015-D728AAB64521}" destId="{DE2DCD96-4501-4B2F-8E99-D99A92BA251F}" srcOrd="4" destOrd="0" presId="urn:microsoft.com/office/officeart/2008/layout/VerticalCurvedList"/>
    <dgm:cxn modelId="{6EA544DB-1871-40AE-BCA3-9C9589645AF0}" type="presParOf" srcId="{DE2DCD96-4501-4B2F-8E99-D99A92BA251F}" destId="{3DC268DF-71E9-4E0D-B04D-B07764191AA1}" srcOrd="0" destOrd="0" presId="urn:microsoft.com/office/officeart/2008/layout/VerticalCurved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B7EFF1F-ED7D-4B79-B13F-16801A92267E}" type="doc">
      <dgm:prSet loTypeId="urn:microsoft.com/office/officeart/2005/8/layout/process1" loCatId="process" qsTypeId="urn:microsoft.com/office/officeart/2005/8/quickstyle/simple1" qsCatId="simple" csTypeId="urn:microsoft.com/office/officeart/2005/8/colors/accent1_5" csCatId="accent1" phldr="1"/>
      <dgm:spPr/>
    </dgm:pt>
    <dgm:pt modelId="{DB6453B5-0D9E-4C56-AFE7-F589104C3065}">
      <dgm:prSet phldrT="[Texto]" custT="1"/>
      <dgm:spPr/>
      <dgm:t>
        <a:bodyPr/>
        <a:lstStyle/>
        <a:p>
          <a:r>
            <a:rPr lang="pt-BR" sz="1200" i="1">
              <a:latin typeface="Times New Roman" panose="02020603050405020304" pitchFamily="18" charset="0"/>
              <a:cs typeface="Times New Roman" panose="02020603050405020304" pitchFamily="18" charset="0"/>
            </a:rPr>
            <a:t>RISCO INERENTE</a:t>
          </a:r>
        </a:p>
      </dgm:t>
    </dgm:pt>
    <dgm:pt modelId="{23F8290A-784C-48A4-B98A-7F063AEF1F7A}" type="parTrans" cxnId="{0D61BD27-0596-4E71-97F1-EC82AC014FBC}">
      <dgm:prSet/>
      <dgm:spPr/>
      <dgm:t>
        <a:bodyPr/>
        <a:lstStyle/>
        <a:p>
          <a:endParaRPr lang="pt-BR"/>
        </a:p>
      </dgm:t>
    </dgm:pt>
    <dgm:pt modelId="{66A12190-D6C2-4CCD-8E7F-FAEB6685C2EF}" type="sibTrans" cxnId="{0D61BD27-0596-4E71-97F1-EC82AC014FBC}">
      <dgm:prSet/>
      <dgm:spPr/>
      <dgm:t>
        <a:bodyPr/>
        <a:lstStyle/>
        <a:p>
          <a:endParaRPr lang="pt-BR"/>
        </a:p>
      </dgm:t>
    </dgm:pt>
    <dgm:pt modelId="{F92B3E2B-E72D-4710-9876-ED7E7BADF9E8}">
      <dgm:prSet phldrT="[Texto]" custT="1"/>
      <dgm:spPr/>
      <dgm:t>
        <a:bodyPr/>
        <a:lstStyle/>
        <a:p>
          <a:r>
            <a:rPr lang="pt-BR" sz="1200" i="1">
              <a:latin typeface="Times New Roman" panose="02020603050405020304" pitchFamily="18" charset="0"/>
              <a:cs typeface="Times New Roman" panose="02020603050405020304" pitchFamily="18" charset="0"/>
            </a:rPr>
            <a:t>Multiplicação probabilidade e impacto, desconsiderando os controles existentes</a:t>
          </a:r>
        </a:p>
      </dgm:t>
    </dgm:pt>
    <dgm:pt modelId="{57EACC8D-5F7E-4890-ABD6-4B4895EA37FE}" type="parTrans" cxnId="{2948AF56-3C1B-45F4-A720-1DDD0F4856EB}">
      <dgm:prSet/>
      <dgm:spPr/>
      <dgm:t>
        <a:bodyPr/>
        <a:lstStyle/>
        <a:p>
          <a:endParaRPr lang="pt-BR"/>
        </a:p>
      </dgm:t>
    </dgm:pt>
    <dgm:pt modelId="{FD654BD8-C8D2-4788-84E2-B0E647072EF2}" type="sibTrans" cxnId="{2948AF56-3C1B-45F4-A720-1DDD0F4856EB}">
      <dgm:prSet/>
      <dgm:spPr/>
      <dgm:t>
        <a:bodyPr/>
        <a:lstStyle/>
        <a:p>
          <a:endParaRPr lang="pt-BR"/>
        </a:p>
      </dgm:t>
    </dgm:pt>
    <dgm:pt modelId="{FE21DF8D-015C-42C2-A43A-5A2BD4696584}" type="pres">
      <dgm:prSet presAssocID="{DB7EFF1F-ED7D-4B79-B13F-16801A92267E}" presName="Name0" presStyleCnt="0">
        <dgm:presLayoutVars>
          <dgm:dir/>
          <dgm:resizeHandles val="exact"/>
        </dgm:presLayoutVars>
      </dgm:prSet>
      <dgm:spPr/>
    </dgm:pt>
    <dgm:pt modelId="{6EDE4778-45F0-4D19-8A0D-FACB26C7F219}" type="pres">
      <dgm:prSet presAssocID="{DB6453B5-0D9E-4C56-AFE7-F589104C3065}" presName="node" presStyleLbl="node1" presStyleIdx="0" presStyleCnt="2" custScaleX="114172">
        <dgm:presLayoutVars>
          <dgm:bulletEnabled val="1"/>
        </dgm:presLayoutVars>
      </dgm:prSet>
      <dgm:spPr/>
    </dgm:pt>
    <dgm:pt modelId="{70229998-AB11-4ED5-8140-FBE14C2BE42B}" type="pres">
      <dgm:prSet presAssocID="{66A12190-D6C2-4CCD-8E7F-FAEB6685C2EF}" presName="sibTrans" presStyleLbl="sibTrans2D1" presStyleIdx="0" presStyleCnt="1"/>
      <dgm:spPr/>
    </dgm:pt>
    <dgm:pt modelId="{87F3510D-66BA-4F3B-BE13-2AE199F231F6}" type="pres">
      <dgm:prSet presAssocID="{66A12190-D6C2-4CCD-8E7F-FAEB6685C2EF}" presName="connectorText" presStyleLbl="sibTrans2D1" presStyleIdx="0" presStyleCnt="1"/>
      <dgm:spPr/>
    </dgm:pt>
    <dgm:pt modelId="{6D0F4C34-6A00-46C3-883C-3F059129E1E7}" type="pres">
      <dgm:prSet presAssocID="{F92B3E2B-E72D-4710-9876-ED7E7BADF9E8}" presName="node" presStyleLbl="node1" presStyleIdx="1" presStyleCnt="2" custScaleX="356339">
        <dgm:presLayoutVars>
          <dgm:bulletEnabled val="1"/>
        </dgm:presLayoutVars>
      </dgm:prSet>
      <dgm:spPr/>
    </dgm:pt>
  </dgm:ptLst>
  <dgm:cxnLst>
    <dgm:cxn modelId="{0D61BD27-0596-4E71-97F1-EC82AC014FBC}" srcId="{DB7EFF1F-ED7D-4B79-B13F-16801A92267E}" destId="{DB6453B5-0D9E-4C56-AFE7-F589104C3065}" srcOrd="0" destOrd="0" parTransId="{23F8290A-784C-48A4-B98A-7F063AEF1F7A}" sibTransId="{66A12190-D6C2-4CCD-8E7F-FAEB6685C2EF}"/>
    <dgm:cxn modelId="{2791DB2A-30D7-40D4-9517-D850C9815E04}" type="presOf" srcId="{DB6453B5-0D9E-4C56-AFE7-F589104C3065}" destId="{6EDE4778-45F0-4D19-8A0D-FACB26C7F219}" srcOrd="0" destOrd="0" presId="urn:microsoft.com/office/officeart/2005/8/layout/process1"/>
    <dgm:cxn modelId="{0667A448-8D0F-4703-8B86-44AD7F011E04}" type="presOf" srcId="{66A12190-D6C2-4CCD-8E7F-FAEB6685C2EF}" destId="{87F3510D-66BA-4F3B-BE13-2AE199F231F6}" srcOrd="1" destOrd="0" presId="urn:microsoft.com/office/officeart/2005/8/layout/process1"/>
    <dgm:cxn modelId="{2948AF56-3C1B-45F4-A720-1DDD0F4856EB}" srcId="{DB7EFF1F-ED7D-4B79-B13F-16801A92267E}" destId="{F92B3E2B-E72D-4710-9876-ED7E7BADF9E8}" srcOrd="1" destOrd="0" parTransId="{57EACC8D-5F7E-4890-ABD6-4B4895EA37FE}" sibTransId="{FD654BD8-C8D2-4788-84E2-B0E647072EF2}"/>
    <dgm:cxn modelId="{D3B3DF98-F5C7-4993-8AD1-52962B4F52E5}" type="presOf" srcId="{DB7EFF1F-ED7D-4B79-B13F-16801A92267E}" destId="{FE21DF8D-015C-42C2-A43A-5A2BD4696584}" srcOrd="0" destOrd="0" presId="urn:microsoft.com/office/officeart/2005/8/layout/process1"/>
    <dgm:cxn modelId="{A0423FA0-AC4F-4A0D-BB0C-40FBE646FA71}" type="presOf" srcId="{F92B3E2B-E72D-4710-9876-ED7E7BADF9E8}" destId="{6D0F4C34-6A00-46C3-883C-3F059129E1E7}" srcOrd="0" destOrd="0" presId="urn:microsoft.com/office/officeart/2005/8/layout/process1"/>
    <dgm:cxn modelId="{047297BF-0A11-4606-9B6E-8D7C0B4DD673}" type="presOf" srcId="{66A12190-D6C2-4CCD-8E7F-FAEB6685C2EF}" destId="{70229998-AB11-4ED5-8140-FBE14C2BE42B}" srcOrd="0" destOrd="0" presId="urn:microsoft.com/office/officeart/2005/8/layout/process1"/>
    <dgm:cxn modelId="{E1FC70AF-935E-4D20-8FBB-862D98EF03A8}" type="presParOf" srcId="{FE21DF8D-015C-42C2-A43A-5A2BD4696584}" destId="{6EDE4778-45F0-4D19-8A0D-FACB26C7F219}" srcOrd="0" destOrd="0" presId="urn:microsoft.com/office/officeart/2005/8/layout/process1"/>
    <dgm:cxn modelId="{BBA7BBE8-C26E-46B8-AC93-D3C5E9DA6F85}" type="presParOf" srcId="{FE21DF8D-015C-42C2-A43A-5A2BD4696584}" destId="{70229998-AB11-4ED5-8140-FBE14C2BE42B}" srcOrd="1" destOrd="0" presId="urn:microsoft.com/office/officeart/2005/8/layout/process1"/>
    <dgm:cxn modelId="{091AF555-81F6-4ABA-8EA3-EBE343A245E0}" type="presParOf" srcId="{70229998-AB11-4ED5-8140-FBE14C2BE42B}" destId="{87F3510D-66BA-4F3B-BE13-2AE199F231F6}" srcOrd="0" destOrd="0" presId="urn:microsoft.com/office/officeart/2005/8/layout/process1"/>
    <dgm:cxn modelId="{BE6A3961-BBAB-4F8A-9C98-2BDF55E89C9E}" type="presParOf" srcId="{FE21DF8D-015C-42C2-A43A-5A2BD4696584}" destId="{6D0F4C34-6A00-46C3-883C-3F059129E1E7}" srcOrd="2" destOrd="0" presId="urn:microsoft.com/office/officeart/2005/8/layout/process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B7EFF1F-ED7D-4B79-B13F-16801A92267E}" type="doc">
      <dgm:prSet loTypeId="urn:microsoft.com/office/officeart/2005/8/layout/process1" loCatId="process" qsTypeId="urn:microsoft.com/office/officeart/2005/8/quickstyle/simple1" qsCatId="simple" csTypeId="urn:microsoft.com/office/officeart/2005/8/colors/accent1_3" csCatId="accent1" phldr="1"/>
      <dgm:spPr/>
    </dgm:pt>
    <dgm:pt modelId="{DB6453B5-0D9E-4C56-AFE7-F589104C3065}">
      <dgm:prSet phldrT="[Texto]" custT="1"/>
      <dgm:spPr/>
      <dgm:t>
        <a:bodyPr/>
        <a:lstStyle/>
        <a:p>
          <a:r>
            <a:rPr lang="pt-PT" sz="1100" b="1" i="1"/>
            <a:t>Risco Residual (RR)</a:t>
          </a:r>
          <a:r>
            <a:rPr lang="pt-PT" sz="1100" i="1"/>
            <a:t> </a:t>
          </a:r>
          <a:endParaRPr lang="pt-BR" sz="1100">
            <a:latin typeface="Times New Roman" panose="02020603050405020304" pitchFamily="18" charset="0"/>
            <a:cs typeface="Times New Roman" panose="02020603050405020304" pitchFamily="18" charset="0"/>
          </a:endParaRPr>
        </a:p>
      </dgm:t>
    </dgm:pt>
    <dgm:pt modelId="{23F8290A-784C-48A4-B98A-7F063AEF1F7A}" type="parTrans" cxnId="{0D61BD27-0596-4E71-97F1-EC82AC014FBC}">
      <dgm:prSet/>
      <dgm:spPr/>
      <dgm:t>
        <a:bodyPr/>
        <a:lstStyle/>
        <a:p>
          <a:endParaRPr lang="pt-BR"/>
        </a:p>
      </dgm:t>
    </dgm:pt>
    <dgm:pt modelId="{66A12190-D6C2-4CCD-8E7F-FAEB6685C2EF}" type="sibTrans" cxnId="{0D61BD27-0596-4E71-97F1-EC82AC014FBC}">
      <dgm:prSet/>
      <dgm:spPr/>
      <dgm:t>
        <a:bodyPr/>
        <a:lstStyle/>
        <a:p>
          <a:endParaRPr lang="pt-BR"/>
        </a:p>
      </dgm:t>
    </dgm:pt>
    <dgm:pt modelId="{F92B3E2B-E72D-4710-9876-ED7E7BADF9E8}">
      <dgm:prSet phldrT="[Texto]" custT="1"/>
      <dgm:spPr/>
      <dgm:t>
        <a:bodyPr/>
        <a:lstStyle/>
        <a:p>
          <a:r>
            <a:rPr lang="pt-PT" sz="1100" i="1"/>
            <a:t>Risco Inerente (RI) x FAC </a:t>
          </a:r>
          <a:endParaRPr lang="pt-BR" sz="1100"/>
        </a:p>
      </dgm:t>
    </dgm:pt>
    <dgm:pt modelId="{57EACC8D-5F7E-4890-ABD6-4B4895EA37FE}" type="parTrans" cxnId="{2948AF56-3C1B-45F4-A720-1DDD0F4856EB}">
      <dgm:prSet/>
      <dgm:spPr/>
      <dgm:t>
        <a:bodyPr/>
        <a:lstStyle/>
        <a:p>
          <a:endParaRPr lang="pt-BR"/>
        </a:p>
      </dgm:t>
    </dgm:pt>
    <dgm:pt modelId="{FD654BD8-C8D2-4788-84E2-B0E647072EF2}" type="sibTrans" cxnId="{2948AF56-3C1B-45F4-A720-1DDD0F4856EB}">
      <dgm:prSet/>
      <dgm:spPr/>
      <dgm:t>
        <a:bodyPr/>
        <a:lstStyle/>
        <a:p>
          <a:endParaRPr lang="pt-BR"/>
        </a:p>
      </dgm:t>
    </dgm:pt>
    <dgm:pt modelId="{FE21DF8D-015C-42C2-A43A-5A2BD4696584}" type="pres">
      <dgm:prSet presAssocID="{DB7EFF1F-ED7D-4B79-B13F-16801A92267E}" presName="Name0" presStyleCnt="0">
        <dgm:presLayoutVars>
          <dgm:dir/>
          <dgm:resizeHandles val="exact"/>
        </dgm:presLayoutVars>
      </dgm:prSet>
      <dgm:spPr/>
    </dgm:pt>
    <dgm:pt modelId="{6EDE4778-45F0-4D19-8A0D-FACB26C7F219}" type="pres">
      <dgm:prSet presAssocID="{DB6453B5-0D9E-4C56-AFE7-F589104C3065}" presName="node" presStyleLbl="node1" presStyleIdx="0" presStyleCnt="2" custScaleX="114172">
        <dgm:presLayoutVars>
          <dgm:bulletEnabled val="1"/>
        </dgm:presLayoutVars>
      </dgm:prSet>
      <dgm:spPr/>
    </dgm:pt>
    <dgm:pt modelId="{70229998-AB11-4ED5-8140-FBE14C2BE42B}" type="pres">
      <dgm:prSet presAssocID="{66A12190-D6C2-4CCD-8E7F-FAEB6685C2EF}" presName="sibTrans" presStyleLbl="sibTrans2D1" presStyleIdx="0" presStyleCnt="1"/>
      <dgm:spPr/>
    </dgm:pt>
    <dgm:pt modelId="{87F3510D-66BA-4F3B-BE13-2AE199F231F6}" type="pres">
      <dgm:prSet presAssocID="{66A12190-D6C2-4CCD-8E7F-FAEB6685C2EF}" presName="connectorText" presStyleLbl="sibTrans2D1" presStyleIdx="0" presStyleCnt="1"/>
      <dgm:spPr/>
    </dgm:pt>
    <dgm:pt modelId="{6D0F4C34-6A00-46C3-883C-3F059129E1E7}" type="pres">
      <dgm:prSet presAssocID="{F92B3E2B-E72D-4710-9876-ED7E7BADF9E8}" presName="node" presStyleLbl="node1" presStyleIdx="1" presStyleCnt="2" custScaleX="356339">
        <dgm:presLayoutVars>
          <dgm:bulletEnabled val="1"/>
        </dgm:presLayoutVars>
      </dgm:prSet>
      <dgm:spPr/>
    </dgm:pt>
  </dgm:ptLst>
  <dgm:cxnLst>
    <dgm:cxn modelId="{0D61BD27-0596-4E71-97F1-EC82AC014FBC}" srcId="{DB7EFF1F-ED7D-4B79-B13F-16801A92267E}" destId="{DB6453B5-0D9E-4C56-AFE7-F589104C3065}" srcOrd="0" destOrd="0" parTransId="{23F8290A-784C-48A4-B98A-7F063AEF1F7A}" sibTransId="{66A12190-D6C2-4CCD-8E7F-FAEB6685C2EF}"/>
    <dgm:cxn modelId="{2791DB2A-30D7-40D4-9517-D850C9815E04}" type="presOf" srcId="{DB6453B5-0D9E-4C56-AFE7-F589104C3065}" destId="{6EDE4778-45F0-4D19-8A0D-FACB26C7F219}" srcOrd="0" destOrd="0" presId="urn:microsoft.com/office/officeart/2005/8/layout/process1"/>
    <dgm:cxn modelId="{0667A448-8D0F-4703-8B86-44AD7F011E04}" type="presOf" srcId="{66A12190-D6C2-4CCD-8E7F-FAEB6685C2EF}" destId="{87F3510D-66BA-4F3B-BE13-2AE199F231F6}" srcOrd="1" destOrd="0" presId="urn:microsoft.com/office/officeart/2005/8/layout/process1"/>
    <dgm:cxn modelId="{2948AF56-3C1B-45F4-A720-1DDD0F4856EB}" srcId="{DB7EFF1F-ED7D-4B79-B13F-16801A92267E}" destId="{F92B3E2B-E72D-4710-9876-ED7E7BADF9E8}" srcOrd="1" destOrd="0" parTransId="{57EACC8D-5F7E-4890-ABD6-4B4895EA37FE}" sibTransId="{FD654BD8-C8D2-4788-84E2-B0E647072EF2}"/>
    <dgm:cxn modelId="{D3B3DF98-F5C7-4993-8AD1-52962B4F52E5}" type="presOf" srcId="{DB7EFF1F-ED7D-4B79-B13F-16801A92267E}" destId="{FE21DF8D-015C-42C2-A43A-5A2BD4696584}" srcOrd="0" destOrd="0" presId="urn:microsoft.com/office/officeart/2005/8/layout/process1"/>
    <dgm:cxn modelId="{A0423FA0-AC4F-4A0D-BB0C-40FBE646FA71}" type="presOf" srcId="{F92B3E2B-E72D-4710-9876-ED7E7BADF9E8}" destId="{6D0F4C34-6A00-46C3-883C-3F059129E1E7}" srcOrd="0" destOrd="0" presId="urn:microsoft.com/office/officeart/2005/8/layout/process1"/>
    <dgm:cxn modelId="{047297BF-0A11-4606-9B6E-8D7C0B4DD673}" type="presOf" srcId="{66A12190-D6C2-4CCD-8E7F-FAEB6685C2EF}" destId="{70229998-AB11-4ED5-8140-FBE14C2BE42B}" srcOrd="0" destOrd="0" presId="urn:microsoft.com/office/officeart/2005/8/layout/process1"/>
    <dgm:cxn modelId="{E1FC70AF-935E-4D20-8FBB-862D98EF03A8}" type="presParOf" srcId="{FE21DF8D-015C-42C2-A43A-5A2BD4696584}" destId="{6EDE4778-45F0-4D19-8A0D-FACB26C7F219}" srcOrd="0" destOrd="0" presId="urn:microsoft.com/office/officeart/2005/8/layout/process1"/>
    <dgm:cxn modelId="{BBA7BBE8-C26E-46B8-AC93-D3C5E9DA6F85}" type="presParOf" srcId="{FE21DF8D-015C-42C2-A43A-5A2BD4696584}" destId="{70229998-AB11-4ED5-8140-FBE14C2BE42B}" srcOrd="1" destOrd="0" presId="urn:microsoft.com/office/officeart/2005/8/layout/process1"/>
    <dgm:cxn modelId="{091AF555-81F6-4ABA-8EA3-EBE343A245E0}" type="presParOf" srcId="{70229998-AB11-4ED5-8140-FBE14C2BE42B}" destId="{87F3510D-66BA-4F3B-BE13-2AE199F231F6}" srcOrd="0" destOrd="0" presId="urn:microsoft.com/office/officeart/2005/8/layout/process1"/>
    <dgm:cxn modelId="{BE6A3961-BBAB-4F8A-9C98-2BDF55E89C9E}" type="presParOf" srcId="{FE21DF8D-015C-42C2-A43A-5A2BD4696584}" destId="{6D0F4C34-6A00-46C3-883C-3F059129E1E7}" srcOrd="2" destOrd="0" presId="urn:microsoft.com/office/officeart/2005/8/layout/process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E4234C6-933A-4ACA-ACB1-01784815F54B}" type="doc">
      <dgm:prSet loTypeId="urn:microsoft.com/office/officeart/2005/8/layout/hProcess9" loCatId="process" qsTypeId="urn:microsoft.com/office/officeart/2005/8/quickstyle/simple1" qsCatId="simple" csTypeId="urn:microsoft.com/office/officeart/2005/8/colors/accent1_3" csCatId="accent1" phldr="1"/>
      <dgm:spPr/>
      <dgm:t>
        <a:bodyPr/>
        <a:lstStyle/>
        <a:p>
          <a:endParaRPr lang="pt-BR"/>
        </a:p>
      </dgm:t>
    </dgm:pt>
    <dgm:pt modelId="{8D8840A8-8BC6-4D48-B233-FA92579E0524}">
      <dgm:prSet phldrT="[Texto]" custT="1"/>
      <dgm:spPr/>
      <dgm:t>
        <a:bodyPr/>
        <a:lstStyle/>
        <a:p>
          <a:r>
            <a:rPr lang="pt-BR" sz="1100"/>
            <a:t>Risco Extremo</a:t>
          </a:r>
        </a:p>
      </dgm:t>
    </dgm:pt>
    <dgm:pt modelId="{912A4C23-5441-479B-835C-4B8B827D9CDA}" type="parTrans" cxnId="{A9B5F7AA-C37A-4DA8-830B-4AC01A8C62D7}">
      <dgm:prSet/>
      <dgm:spPr/>
      <dgm:t>
        <a:bodyPr/>
        <a:lstStyle/>
        <a:p>
          <a:endParaRPr lang="pt-BR" sz="1200">
            <a:solidFill>
              <a:schemeClr val="accent5">
                <a:lumMod val="50000"/>
              </a:schemeClr>
            </a:solidFill>
          </a:endParaRPr>
        </a:p>
      </dgm:t>
    </dgm:pt>
    <dgm:pt modelId="{E81F6C8C-C7C7-4261-B67A-5967DEB39CEE}" type="sibTrans" cxnId="{A9B5F7AA-C37A-4DA8-830B-4AC01A8C62D7}">
      <dgm:prSet/>
      <dgm:spPr/>
      <dgm:t>
        <a:bodyPr/>
        <a:lstStyle/>
        <a:p>
          <a:endParaRPr lang="pt-BR" sz="1200">
            <a:solidFill>
              <a:schemeClr val="accent5">
                <a:lumMod val="50000"/>
              </a:schemeClr>
            </a:solidFill>
          </a:endParaRPr>
        </a:p>
      </dgm:t>
    </dgm:pt>
    <dgm:pt modelId="{4E25EAAA-88C0-45F2-8609-96F4B6ED1CB8}">
      <dgm:prSet phldrT="[Texto]" custT="1"/>
      <dgm:spPr/>
      <dgm:t>
        <a:bodyPr/>
        <a:lstStyle/>
        <a:p>
          <a:r>
            <a:rPr lang="pt-BR" sz="1200"/>
            <a:t>Evitar</a:t>
          </a:r>
        </a:p>
      </dgm:t>
    </dgm:pt>
    <dgm:pt modelId="{352805D6-2E3A-4003-A502-35C2CB0DE1C5}" type="parTrans" cxnId="{BF8AA701-FD14-48F7-8C8B-7232BCD17265}">
      <dgm:prSet/>
      <dgm:spPr/>
      <dgm:t>
        <a:bodyPr/>
        <a:lstStyle/>
        <a:p>
          <a:endParaRPr lang="pt-BR" sz="1200">
            <a:solidFill>
              <a:schemeClr val="accent5">
                <a:lumMod val="50000"/>
              </a:schemeClr>
            </a:solidFill>
          </a:endParaRPr>
        </a:p>
      </dgm:t>
    </dgm:pt>
    <dgm:pt modelId="{126E7F98-ABB6-435E-B320-8A4CDFC2D078}" type="sibTrans" cxnId="{BF8AA701-FD14-48F7-8C8B-7232BCD17265}">
      <dgm:prSet/>
      <dgm:spPr/>
      <dgm:t>
        <a:bodyPr/>
        <a:lstStyle/>
        <a:p>
          <a:endParaRPr lang="pt-BR" sz="1200">
            <a:solidFill>
              <a:schemeClr val="accent5">
                <a:lumMod val="50000"/>
              </a:schemeClr>
            </a:solidFill>
          </a:endParaRPr>
        </a:p>
      </dgm:t>
    </dgm:pt>
    <dgm:pt modelId="{58167898-83FA-489C-9097-BD15E097C4E4}">
      <dgm:prSet phldrT="[Texto]" custT="1"/>
      <dgm:spPr/>
      <dgm:t>
        <a:bodyPr/>
        <a:lstStyle/>
        <a:p>
          <a:r>
            <a:rPr lang="pt-BR" sz="1100"/>
            <a:t>Risco Alto</a:t>
          </a:r>
        </a:p>
      </dgm:t>
    </dgm:pt>
    <dgm:pt modelId="{E55A3532-DE1E-45AC-A2DF-1353354C13AD}" type="parTrans" cxnId="{34D967B5-47A0-421F-82D5-A73D691202FD}">
      <dgm:prSet/>
      <dgm:spPr/>
      <dgm:t>
        <a:bodyPr/>
        <a:lstStyle/>
        <a:p>
          <a:endParaRPr lang="pt-BR" sz="1200">
            <a:solidFill>
              <a:schemeClr val="accent5">
                <a:lumMod val="50000"/>
              </a:schemeClr>
            </a:solidFill>
          </a:endParaRPr>
        </a:p>
      </dgm:t>
    </dgm:pt>
    <dgm:pt modelId="{766C6EDB-96A7-46DF-9A61-BD590D93CAA9}" type="sibTrans" cxnId="{34D967B5-47A0-421F-82D5-A73D691202FD}">
      <dgm:prSet/>
      <dgm:spPr/>
      <dgm:t>
        <a:bodyPr/>
        <a:lstStyle/>
        <a:p>
          <a:endParaRPr lang="pt-BR" sz="1200">
            <a:solidFill>
              <a:schemeClr val="accent5">
                <a:lumMod val="50000"/>
              </a:schemeClr>
            </a:solidFill>
          </a:endParaRPr>
        </a:p>
      </dgm:t>
    </dgm:pt>
    <dgm:pt modelId="{6DD21A35-37C3-459E-ADCE-12892209664F}">
      <dgm:prSet phldrT="[Texto]" custT="1"/>
      <dgm:spPr/>
      <dgm:t>
        <a:bodyPr/>
        <a:lstStyle/>
        <a:p>
          <a:r>
            <a:rPr lang="pt-BR" sz="1200"/>
            <a:t>Mitigar</a:t>
          </a:r>
        </a:p>
      </dgm:t>
    </dgm:pt>
    <dgm:pt modelId="{4CD64E86-7A4F-42A9-8A49-1E4DC0A04F2D}" type="parTrans" cxnId="{D055EEB4-073B-464D-B095-05D572EF4BC1}">
      <dgm:prSet/>
      <dgm:spPr/>
      <dgm:t>
        <a:bodyPr/>
        <a:lstStyle/>
        <a:p>
          <a:endParaRPr lang="pt-BR" sz="1200">
            <a:solidFill>
              <a:schemeClr val="accent5">
                <a:lumMod val="50000"/>
              </a:schemeClr>
            </a:solidFill>
          </a:endParaRPr>
        </a:p>
      </dgm:t>
    </dgm:pt>
    <dgm:pt modelId="{E873685A-EB7B-4BFB-841F-1A48AB15161E}" type="sibTrans" cxnId="{D055EEB4-073B-464D-B095-05D572EF4BC1}">
      <dgm:prSet/>
      <dgm:spPr/>
      <dgm:t>
        <a:bodyPr/>
        <a:lstStyle/>
        <a:p>
          <a:endParaRPr lang="pt-BR" sz="1200">
            <a:solidFill>
              <a:schemeClr val="accent5">
                <a:lumMod val="50000"/>
              </a:schemeClr>
            </a:solidFill>
          </a:endParaRPr>
        </a:p>
      </dgm:t>
    </dgm:pt>
    <dgm:pt modelId="{8714C120-E08E-43A9-A1DA-A49990C42A13}">
      <dgm:prSet phldrT="[Texto]" custT="1"/>
      <dgm:spPr/>
      <dgm:t>
        <a:bodyPr/>
        <a:lstStyle/>
        <a:p>
          <a:r>
            <a:rPr lang="pt-BR" sz="1100"/>
            <a:t>Risco Médio</a:t>
          </a:r>
        </a:p>
      </dgm:t>
    </dgm:pt>
    <dgm:pt modelId="{D384DB44-A0C4-4994-B48A-3EFAD0BC5BD0}" type="parTrans" cxnId="{313E90CA-D6CC-4329-9D36-BC578C60D092}">
      <dgm:prSet/>
      <dgm:spPr/>
      <dgm:t>
        <a:bodyPr/>
        <a:lstStyle/>
        <a:p>
          <a:endParaRPr lang="pt-BR" sz="1200">
            <a:solidFill>
              <a:schemeClr val="accent5">
                <a:lumMod val="50000"/>
              </a:schemeClr>
            </a:solidFill>
          </a:endParaRPr>
        </a:p>
      </dgm:t>
    </dgm:pt>
    <dgm:pt modelId="{64B46236-98BB-4D44-86B1-E6C0B77A38C5}" type="sibTrans" cxnId="{313E90CA-D6CC-4329-9D36-BC578C60D092}">
      <dgm:prSet/>
      <dgm:spPr/>
      <dgm:t>
        <a:bodyPr/>
        <a:lstStyle/>
        <a:p>
          <a:endParaRPr lang="pt-BR" sz="1200">
            <a:solidFill>
              <a:schemeClr val="accent5">
                <a:lumMod val="50000"/>
              </a:schemeClr>
            </a:solidFill>
          </a:endParaRPr>
        </a:p>
      </dgm:t>
    </dgm:pt>
    <dgm:pt modelId="{0D7590C5-5A21-45FE-BD65-DBB1DC0FE081}">
      <dgm:prSet phldrT="[Texto]" custT="1"/>
      <dgm:spPr/>
      <dgm:t>
        <a:bodyPr/>
        <a:lstStyle/>
        <a:p>
          <a:r>
            <a:rPr lang="pt-BR" sz="1150"/>
            <a:t>Compartilhar</a:t>
          </a:r>
        </a:p>
      </dgm:t>
    </dgm:pt>
    <dgm:pt modelId="{467245E0-E3C5-4D39-9E6F-6CEE2EEE8B31}" type="parTrans" cxnId="{139F5E25-C15F-405B-9B5F-237A01902326}">
      <dgm:prSet/>
      <dgm:spPr/>
      <dgm:t>
        <a:bodyPr/>
        <a:lstStyle/>
        <a:p>
          <a:endParaRPr lang="pt-BR" sz="1200">
            <a:solidFill>
              <a:schemeClr val="accent5">
                <a:lumMod val="50000"/>
              </a:schemeClr>
            </a:solidFill>
          </a:endParaRPr>
        </a:p>
      </dgm:t>
    </dgm:pt>
    <dgm:pt modelId="{41BED509-0963-4558-9B81-5B67ABED7918}" type="sibTrans" cxnId="{139F5E25-C15F-405B-9B5F-237A01902326}">
      <dgm:prSet/>
      <dgm:spPr/>
      <dgm:t>
        <a:bodyPr/>
        <a:lstStyle/>
        <a:p>
          <a:endParaRPr lang="pt-BR" sz="1200">
            <a:solidFill>
              <a:schemeClr val="accent5">
                <a:lumMod val="50000"/>
              </a:schemeClr>
            </a:solidFill>
          </a:endParaRPr>
        </a:p>
      </dgm:t>
    </dgm:pt>
    <dgm:pt modelId="{19B3AABE-2D5A-4E52-A8CA-CDA5B9B74366}">
      <dgm:prSet phldrT="[Texto]" custT="1"/>
      <dgm:spPr/>
      <dgm:t>
        <a:bodyPr/>
        <a:lstStyle/>
        <a:p>
          <a:r>
            <a:rPr lang="pt-BR" sz="1100"/>
            <a:t>Risco Baixo</a:t>
          </a:r>
        </a:p>
      </dgm:t>
    </dgm:pt>
    <dgm:pt modelId="{98BDE78E-4842-4927-94EA-7ADB3CA18632}" type="parTrans" cxnId="{A4F3C20F-C81A-4BA1-9005-CC6EE938D42E}">
      <dgm:prSet/>
      <dgm:spPr/>
      <dgm:t>
        <a:bodyPr/>
        <a:lstStyle/>
        <a:p>
          <a:endParaRPr lang="pt-BR" sz="1200">
            <a:solidFill>
              <a:schemeClr val="accent5">
                <a:lumMod val="50000"/>
              </a:schemeClr>
            </a:solidFill>
          </a:endParaRPr>
        </a:p>
      </dgm:t>
    </dgm:pt>
    <dgm:pt modelId="{DCD1F43C-D9A8-4331-8E98-0523FED6C0CA}" type="sibTrans" cxnId="{A4F3C20F-C81A-4BA1-9005-CC6EE938D42E}">
      <dgm:prSet/>
      <dgm:spPr/>
      <dgm:t>
        <a:bodyPr/>
        <a:lstStyle/>
        <a:p>
          <a:endParaRPr lang="pt-BR" sz="1200">
            <a:solidFill>
              <a:schemeClr val="accent5">
                <a:lumMod val="50000"/>
              </a:schemeClr>
            </a:solidFill>
          </a:endParaRPr>
        </a:p>
      </dgm:t>
    </dgm:pt>
    <dgm:pt modelId="{41396920-C06F-4EE3-B753-B7A52036A580}">
      <dgm:prSet phldrT="[Texto]" custT="1"/>
      <dgm:spPr/>
      <dgm:t>
        <a:bodyPr/>
        <a:lstStyle/>
        <a:p>
          <a:r>
            <a:rPr lang="pt-BR" sz="1200"/>
            <a:t>Aceitar</a:t>
          </a:r>
        </a:p>
      </dgm:t>
    </dgm:pt>
    <dgm:pt modelId="{1A5F5B4A-5BB7-42B4-8614-783D3D43680E}" type="parTrans" cxnId="{90F2A5A7-3D89-4012-BC83-A3128F36F189}">
      <dgm:prSet/>
      <dgm:spPr/>
      <dgm:t>
        <a:bodyPr/>
        <a:lstStyle/>
        <a:p>
          <a:endParaRPr lang="pt-BR" sz="1200">
            <a:solidFill>
              <a:schemeClr val="accent5">
                <a:lumMod val="50000"/>
              </a:schemeClr>
            </a:solidFill>
          </a:endParaRPr>
        </a:p>
      </dgm:t>
    </dgm:pt>
    <dgm:pt modelId="{2CB750B2-0287-49A4-B0D1-1DBDB3AA65FD}" type="sibTrans" cxnId="{90F2A5A7-3D89-4012-BC83-A3128F36F189}">
      <dgm:prSet/>
      <dgm:spPr/>
      <dgm:t>
        <a:bodyPr/>
        <a:lstStyle/>
        <a:p>
          <a:endParaRPr lang="pt-BR" sz="1200">
            <a:solidFill>
              <a:schemeClr val="accent5">
                <a:lumMod val="50000"/>
              </a:schemeClr>
            </a:solidFill>
          </a:endParaRPr>
        </a:p>
      </dgm:t>
    </dgm:pt>
    <dgm:pt modelId="{B05F38B8-6D2B-4D6E-B20E-EA9BE267895E}" type="pres">
      <dgm:prSet presAssocID="{FE4234C6-933A-4ACA-ACB1-01784815F54B}" presName="CompostProcess" presStyleCnt="0">
        <dgm:presLayoutVars>
          <dgm:dir/>
          <dgm:resizeHandles val="exact"/>
        </dgm:presLayoutVars>
      </dgm:prSet>
      <dgm:spPr/>
    </dgm:pt>
    <dgm:pt modelId="{016DE808-394A-4D08-A5CA-5CA1B1EDE564}" type="pres">
      <dgm:prSet presAssocID="{FE4234C6-933A-4ACA-ACB1-01784815F54B}" presName="arrow" presStyleLbl="bgShp" presStyleIdx="0" presStyleCnt="1"/>
      <dgm:spPr/>
    </dgm:pt>
    <dgm:pt modelId="{2E076995-12C3-4B57-B188-7AF9110C89B3}" type="pres">
      <dgm:prSet presAssocID="{FE4234C6-933A-4ACA-ACB1-01784815F54B}" presName="linearProcess" presStyleCnt="0"/>
      <dgm:spPr/>
    </dgm:pt>
    <dgm:pt modelId="{C48C6194-8465-4EA8-8843-FDD2145C94B6}" type="pres">
      <dgm:prSet presAssocID="{8D8840A8-8BC6-4D48-B233-FA92579E0524}" presName="textNode" presStyleLbl="node1" presStyleIdx="0" presStyleCnt="4">
        <dgm:presLayoutVars>
          <dgm:bulletEnabled val="1"/>
        </dgm:presLayoutVars>
      </dgm:prSet>
      <dgm:spPr/>
    </dgm:pt>
    <dgm:pt modelId="{296444EB-7711-4C7A-823A-0B1DA67B4543}" type="pres">
      <dgm:prSet presAssocID="{E81F6C8C-C7C7-4261-B67A-5967DEB39CEE}" presName="sibTrans" presStyleCnt="0"/>
      <dgm:spPr/>
    </dgm:pt>
    <dgm:pt modelId="{B5E0EDB3-352E-43D5-8B6C-BE53E06DFB9E}" type="pres">
      <dgm:prSet presAssocID="{58167898-83FA-489C-9097-BD15E097C4E4}" presName="textNode" presStyleLbl="node1" presStyleIdx="1" presStyleCnt="4">
        <dgm:presLayoutVars>
          <dgm:bulletEnabled val="1"/>
        </dgm:presLayoutVars>
      </dgm:prSet>
      <dgm:spPr/>
    </dgm:pt>
    <dgm:pt modelId="{16E9D1E0-CC3A-469C-B3B3-613119D7300C}" type="pres">
      <dgm:prSet presAssocID="{766C6EDB-96A7-46DF-9A61-BD590D93CAA9}" presName="sibTrans" presStyleCnt="0"/>
      <dgm:spPr/>
    </dgm:pt>
    <dgm:pt modelId="{1C23843F-A37C-46AA-B616-0BF0CABCEC0F}" type="pres">
      <dgm:prSet presAssocID="{8714C120-E08E-43A9-A1DA-A49990C42A13}" presName="textNode" presStyleLbl="node1" presStyleIdx="2" presStyleCnt="4">
        <dgm:presLayoutVars>
          <dgm:bulletEnabled val="1"/>
        </dgm:presLayoutVars>
      </dgm:prSet>
      <dgm:spPr/>
    </dgm:pt>
    <dgm:pt modelId="{90D51BE1-B56F-4ECD-8735-59A14A329FFB}" type="pres">
      <dgm:prSet presAssocID="{64B46236-98BB-4D44-86B1-E6C0B77A38C5}" presName="sibTrans" presStyleCnt="0"/>
      <dgm:spPr/>
    </dgm:pt>
    <dgm:pt modelId="{70C1B5AE-6ED7-4C6A-90B0-5C231B7D9701}" type="pres">
      <dgm:prSet presAssocID="{19B3AABE-2D5A-4E52-A8CA-CDA5B9B74366}" presName="textNode" presStyleLbl="node1" presStyleIdx="3" presStyleCnt="4">
        <dgm:presLayoutVars>
          <dgm:bulletEnabled val="1"/>
        </dgm:presLayoutVars>
      </dgm:prSet>
      <dgm:spPr/>
    </dgm:pt>
  </dgm:ptLst>
  <dgm:cxnLst>
    <dgm:cxn modelId="{BF8AA701-FD14-48F7-8C8B-7232BCD17265}" srcId="{8D8840A8-8BC6-4D48-B233-FA92579E0524}" destId="{4E25EAAA-88C0-45F2-8609-96F4B6ED1CB8}" srcOrd="0" destOrd="0" parTransId="{352805D6-2E3A-4003-A502-35C2CB0DE1C5}" sibTransId="{126E7F98-ABB6-435E-B320-8A4CDFC2D078}"/>
    <dgm:cxn modelId="{A4F3C20F-C81A-4BA1-9005-CC6EE938D42E}" srcId="{FE4234C6-933A-4ACA-ACB1-01784815F54B}" destId="{19B3AABE-2D5A-4E52-A8CA-CDA5B9B74366}" srcOrd="3" destOrd="0" parTransId="{98BDE78E-4842-4927-94EA-7ADB3CA18632}" sibTransId="{DCD1F43C-D9A8-4331-8E98-0523FED6C0CA}"/>
    <dgm:cxn modelId="{9FC7CB18-DB52-4B79-BB7E-0A4D1A87FCDD}" type="presOf" srcId="{8D8840A8-8BC6-4D48-B233-FA92579E0524}" destId="{C48C6194-8465-4EA8-8843-FDD2145C94B6}" srcOrd="0" destOrd="0" presId="urn:microsoft.com/office/officeart/2005/8/layout/hProcess9"/>
    <dgm:cxn modelId="{139F5E25-C15F-405B-9B5F-237A01902326}" srcId="{8714C120-E08E-43A9-A1DA-A49990C42A13}" destId="{0D7590C5-5A21-45FE-BD65-DBB1DC0FE081}" srcOrd="0" destOrd="0" parTransId="{467245E0-E3C5-4D39-9E6F-6CEE2EEE8B31}" sibTransId="{41BED509-0963-4558-9B81-5B67ABED7918}"/>
    <dgm:cxn modelId="{8A11F75C-AF1E-4063-8027-5235D8FA30E9}" type="presOf" srcId="{8714C120-E08E-43A9-A1DA-A49990C42A13}" destId="{1C23843F-A37C-46AA-B616-0BF0CABCEC0F}" srcOrd="0" destOrd="0" presId="urn:microsoft.com/office/officeart/2005/8/layout/hProcess9"/>
    <dgm:cxn modelId="{4FBD6463-A178-49A8-8ED1-6AB2078B9E3E}" type="presOf" srcId="{41396920-C06F-4EE3-B753-B7A52036A580}" destId="{70C1B5AE-6ED7-4C6A-90B0-5C231B7D9701}" srcOrd="0" destOrd="1" presId="urn:microsoft.com/office/officeart/2005/8/layout/hProcess9"/>
    <dgm:cxn modelId="{B90DC44F-B093-4669-91B5-A10167D937E2}" type="presOf" srcId="{FE4234C6-933A-4ACA-ACB1-01784815F54B}" destId="{B05F38B8-6D2B-4D6E-B20E-EA9BE267895E}" srcOrd="0" destOrd="0" presId="urn:microsoft.com/office/officeart/2005/8/layout/hProcess9"/>
    <dgm:cxn modelId="{7B8E8C79-3AE3-4C75-9937-CAE1EBCBDB84}" type="presOf" srcId="{19B3AABE-2D5A-4E52-A8CA-CDA5B9B74366}" destId="{70C1B5AE-6ED7-4C6A-90B0-5C231B7D9701}" srcOrd="0" destOrd="0" presId="urn:microsoft.com/office/officeart/2005/8/layout/hProcess9"/>
    <dgm:cxn modelId="{30832B9A-DBA4-4499-98DE-2EBE16B12095}" type="presOf" srcId="{58167898-83FA-489C-9097-BD15E097C4E4}" destId="{B5E0EDB3-352E-43D5-8B6C-BE53E06DFB9E}" srcOrd="0" destOrd="0" presId="urn:microsoft.com/office/officeart/2005/8/layout/hProcess9"/>
    <dgm:cxn modelId="{90F2A5A7-3D89-4012-BC83-A3128F36F189}" srcId="{19B3AABE-2D5A-4E52-A8CA-CDA5B9B74366}" destId="{41396920-C06F-4EE3-B753-B7A52036A580}" srcOrd="0" destOrd="0" parTransId="{1A5F5B4A-5BB7-42B4-8614-783D3D43680E}" sibTransId="{2CB750B2-0287-49A4-B0D1-1DBDB3AA65FD}"/>
    <dgm:cxn modelId="{A9B5F7AA-C37A-4DA8-830B-4AC01A8C62D7}" srcId="{FE4234C6-933A-4ACA-ACB1-01784815F54B}" destId="{8D8840A8-8BC6-4D48-B233-FA92579E0524}" srcOrd="0" destOrd="0" parTransId="{912A4C23-5441-479B-835C-4B8B827D9CDA}" sibTransId="{E81F6C8C-C7C7-4261-B67A-5967DEB39CEE}"/>
    <dgm:cxn modelId="{865649B1-2EBB-4443-AF38-5F52C9319A7C}" type="presOf" srcId="{6DD21A35-37C3-459E-ADCE-12892209664F}" destId="{B5E0EDB3-352E-43D5-8B6C-BE53E06DFB9E}" srcOrd="0" destOrd="1" presId="urn:microsoft.com/office/officeart/2005/8/layout/hProcess9"/>
    <dgm:cxn modelId="{5FFDF3B1-06F5-472D-BC6F-47C6E1367564}" type="presOf" srcId="{4E25EAAA-88C0-45F2-8609-96F4B6ED1CB8}" destId="{C48C6194-8465-4EA8-8843-FDD2145C94B6}" srcOrd="0" destOrd="1" presId="urn:microsoft.com/office/officeart/2005/8/layout/hProcess9"/>
    <dgm:cxn modelId="{D055EEB4-073B-464D-B095-05D572EF4BC1}" srcId="{58167898-83FA-489C-9097-BD15E097C4E4}" destId="{6DD21A35-37C3-459E-ADCE-12892209664F}" srcOrd="0" destOrd="0" parTransId="{4CD64E86-7A4F-42A9-8A49-1E4DC0A04F2D}" sibTransId="{E873685A-EB7B-4BFB-841F-1A48AB15161E}"/>
    <dgm:cxn modelId="{34D967B5-47A0-421F-82D5-A73D691202FD}" srcId="{FE4234C6-933A-4ACA-ACB1-01784815F54B}" destId="{58167898-83FA-489C-9097-BD15E097C4E4}" srcOrd="1" destOrd="0" parTransId="{E55A3532-DE1E-45AC-A2DF-1353354C13AD}" sibTransId="{766C6EDB-96A7-46DF-9A61-BD590D93CAA9}"/>
    <dgm:cxn modelId="{313E90CA-D6CC-4329-9D36-BC578C60D092}" srcId="{FE4234C6-933A-4ACA-ACB1-01784815F54B}" destId="{8714C120-E08E-43A9-A1DA-A49990C42A13}" srcOrd="2" destOrd="0" parTransId="{D384DB44-A0C4-4994-B48A-3EFAD0BC5BD0}" sibTransId="{64B46236-98BB-4D44-86B1-E6C0B77A38C5}"/>
    <dgm:cxn modelId="{7E317CCE-0023-4DBE-BF4B-1A306916E904}" type="presOf" srcId="{0D7590C5-5A21-45FE-BD65-DBB1DC0FE081}" destId="{1C23843F-A37C-46AA-B616-0BF0CABCEC0F}" srcOrd="0" destOrd="1" presId="urn:microsoft.com/office/officeart/2005/8/layout/hProcess9"/>
    <dgm:cxn modelId="{9626B96A-9205-4A12-B295-7036D6568B3A}" type="presParOf" srcId="{B05F38B8-6D2B-4D6E-B20E-EA9BE267895E}" destId="{016DE808-394A-4D08-A5CA-5CA1B1EDE564}" srcOrd="0" destOrd="0" presId="urn:microsoft.com/office/officeart/2005/8/layout/hProcess9"/>
    <dgm:cxn modelId="{A5B757FA-88B5-4F04-9E3D-AC87026BDB51}" type="presParOf" srcId="{B05F38B8-6D2B-4D6E-B20E-EA9BE267895E}" destId="{2E076995-12C3-4B57-B188-7AF9110C89B3}" srcOrd="1" destOrd="0" presId="urn:microsoft.com/office/officeart/2005/8/layout/hProcess9"/>
    <dgm:cxn modelId="{2E884E26-8F39-4AA9-9184-CEC23064ED72}" type="presParOf" srcId="{2E076995-12C3-4B57-B188-7AF9110C89B3}" destId="{C48C6194-8465-4EA8-8843-FDD2145C94B6}" srcOrd="0" destOrd="0" presId="urn:microsoft.com/office/officeart/2005/8/layout/hProcess9"/>
    <dgm:cxn modelId="{8C33F33B-E118-4EAB-8131-25296FF09821}" type="presParOf" srcId="{2E076995-12C3-4B57-B188-7AF9110C89B3}" destId="{296444EB-7711-4C7A-823A-0B1DA67B4543}" srcOrd="1" destOrd="0" presId="urn:microsoft.com/office/officeart/2005/8/layout/hProcess9"/>
    <dgm:cxn modelId="{27E9EFF0-5553-4C0A-B25E-CE621E2198B0}" type="presParOf" srcId="{2E076995-12C3-4B57-B188-7AF9110C89B3}" destId="{B5E0EDB3-352E-43D5-8B6C-BE53E06DFB9E}" srcOrd="2" destOrd="0" presId="urn:microsoft.com/office/officeart/2005/8/layout/hProcess9"/>
    <dgm:cxn modelId="{57800E1C-A668-4059-A56D-6CE0FBD0A979}" type="presParOf" srcId="{2E076995-12C3-4B57-B188-7AF9110C89B3}" destId="{16E9D1E0-CC3A-469C-B3B3-613119D7300C}" srcOrd="3" destOrd="0" presId="urn:microsoft.com/office/officeart/2005/8/layout/hProcess9"/>
    <dgm:cxn modelId="{DE65FD08-7639-4346-9215-7A808ACC86FB}" type="presParOf" srcId="{2E076995-12C3-4B57-B188-7AF9110C89B3}" destId="{1C23843F-A37C-46AA-B616-0BF0CABCEC0F}" srcOrd="4" destOrd="0" presId="urn:microsoft.com/office/officeart/2005/8/layout/hProcess9"/>
    <dgm:cxn modelId="{36EA35B3-B371-49C2-A322-6B1527A15BB3}" type="presParOf" srcId="{2E076995-12C3-4B57-B188-7AF9110C89B3}" destId="{90D51BE1-B56F-4ECD-8735-59A14A329FFB}" srcOrd="5" destOrd="0" presId="urn:microsoft.com/office/officeart/2005/8/layout/hProcess9"/>
    <dgm:cxn modelId="{92AB1889-80BE-471C-AA3D-2E42877A8B3D}" type="presParOf" srcId="{2E076995-12C3-4B57-B188-7AF9110C89B3}" destId="{70C1B5AE-6ED7-4C6A-90B0-5C231B7D9701}" srcOrd="6" destOrd="0" presId="urn:microsoft.com/office/officeart/2005/8/layout/hProcess9"/>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85489D7-2008-448A-8D6B-8A73C0AFF565}" type="doc">
      <dgm:prSet loTypeId="urn:microsoft.com/office/officeart/2005/8/layout/arrow6" loCatId="relationship" qsTypeId="urn:microsoft.com/office/officeart/2005/8/quickstyle/simple1" qsCatId="simple" csTypeId="urn:microsoft.com/office/officeart/2005/8/colors/accent0_1" csCatId="mainScheme" phldr="1"/>
      <dgm:spPr/>
      <dgm:t>
        <a:bodyPr/>
        <a:lstStyle/>
        <a:p>
          <a:endParaRPr lang="pt-BR"/>
        </a:p>
      </dgm:t>
    </dgm:pt>
    <dgm:pt modelId="{C8963FDF-69DC-4915-BCC3-F789BA9253ED}">
      <dgm:prSet phldrT="[Texto]" custT="1"/>
      <dgm:spPr/>
      <dgm:t>
        <a:bodyPr/>
        <a:lstStyle/>
        <a:p>
          <a:r>
            <a:rPr lang="pt-BR" sz="1400"/>
            <a:t>(2) Sim, existe</a:t>
          </a:r>
        </a:p>
      </dgm:t>
    </dgm:pt>
    <dgm:pt modelId="{0B1A32FB-EB04-469B-969B-765A53132316}" type="parTrans" cxnId="{BCA1B078-8CAA-4BB4-8C48-9B1A876E91A7}">
      <dgm:prSet/>
      <dgm:spPr/>
      <dgm:t>
        <a:bodyPr/>
        <a:lstStyle/>
        <a:p>
          <a:endParaRPr lang="pt-BR"/>
        </a:p>
      </dgm:t>
    </dgm:pt>
    <dgm:pt modelId="{0B4F00EC-8424-415B-AE5F-9EBDB7E9853B}" type="sibTrans" cxnId="{BCA1B078-8CAA-4BB4-8C48-9B1A876E91A7}">
      <dgm:prSet/>
      <dgm:spPr/>
      <dgm:t>
        <a:bodyPr/>
        <a:lstStyle/>
        <a:p>
          <a:endParaRPr lang="pt-BR"/>
        </a:p>
      </dgm:t>
    </dgm:pt>
    <dgm:pt modelId="{37CBD209-20B1-4699-B61A-EFC93D0D02AE}">
      <dgm:prSet phldrT="[Texto]" custT="1"/>
      <dgm:spPr/>
      <dgm:t>
        <a:bodyPr/>
        <a:lstStyle/>
        <a:p>
          <a:r>
            <a:rPr lang="pt-BR" sz="1400"/>
            <a:t>(1) Não Existe</a:t>
          </a:r>
        </a:p>
      </dgm:t>
    </dgm:pt>
    <dgm:pt modelId="{38F31EBE-3F18-473F-9D9B-A2D1BF0F3037}" type="parTrans" cxnId="{9D9CA528-98A3-4B6B-86D2-0553DB8930A5}">
      <dgm:prSet/>
      <dgm:spPr/>
      <dgm:t>
        <a:bodyPr/>
        <a:lstStyle/>
        <a:p>
          <a:endParaRPr lang="pt-BR"/>
        </a:p>
      </dgm:t>
    </dgm:pt>
    <dgm:pt modelId="{FE38C11E-250A-4633-991D-7D33D973D0D0}" type="sibTrans" cxnId="{9D9CA528-98A3-4B6B-86D2-0553DB8930A5}">
      <dgm:prSet/>
      <dgm:spPr/>
      <dgm:t>
        <a:bodyPr/>
        <a:lstStyle/>
        <a:p>
          <a:endParaRPr lang="pt-BR"/>
        </a:p>
      </dgm:t>
    </dgm:pt>
    <dgm:pt modelId="{8DE11468-0525-4BF8-84A1-108334F490A0}" type="pres">
      <dgm:prSet presAssocID="{285489D7-2008-448A-8D6B-8A73C0AFF565}" presName="compositeShape" presStyleCnt="0">
        <dgm:presLayoutVars>
          <dgm:chMax val="2"/>
          <dgm:dir/>
          <dgm:resizeHandles val="exact"/>
        </dgm:presLayoutVars>
      </dgm:prSet>
      <dgm:spPr/>
    </dgm:pt>
    <dgm:pt modelId="{E8BEC71C-4716-4468-ABE6-7ED0965C8FBF}" type="pres">
      <dgm:prSet presAssocID="{285489D7-2008-448A-8D6B-8A73C0AFF565}" presName="ribbon" presStyleLbl="node1" presStyleIdx="0" presStyleCnt="1"/>
      <dgm:spPr/>
    </dgm:pt>
    <dgm:pt modelId="{E72FCEE6-9119-4366-88F5-3067157806C1}" type="pres">
      <dgm:prSet presAssocID="{285489D7-2008-448A-8D6B-8A73C0AFF565}" presName="leftArrowText" presStyleLbl="node1" presStyleIdx="0" presStyleCnt="1">
        <dgm:presLayoutVars>
          <dgm:chMax val="0"/>
          <dgm:bulletEnabled val="1"/>
        </dgm:presLayoutVars>
      </dgm:prSet>
      <dgm:spPr/>
    </dgm:pt>
    <dgm:pt modelId="{04C13282-8EA3-47A0-8566-02645B4F94BA}" type="pres">
      <dgm:prSet presAssocID="{285489D7-2008-448A-8D6B-8A73C0AFF565}" presName="rightArrowText" presStyleLbl="node1" presStyleIdx="0" presStyleCnt="1">
        <dgm:presLayoutVars>
          <dgm:chMax val="0"/>
          <dgm:bulletEnabled val="1"/>
        </dgm:presLayoutVars>
      </dgm:prSet>
      <dgm:spPr/>
    </dgm:pt>
  </dgm:ptLst>
  <dgm:cxnLst>
    <dgm:cxn modelId="{9D9CA528-98A3-4B6B-86D2-0553DB8930A5}" srcId="{285489D7-2008-448A-8D6B-8A73C0AFF565}" destId="{37CBD209-20B1-4699-B61A-EFC93D0D02AE}" srcOrd="1" destOrd="0" parTransId="{38F31EBE-3F18-473F-9D9B-A2D1BF0F3037}" sibTransId="{FE38C11E-250A-4633-991D-7D33D973D0D0}"/>
    <dgm:cxn modelId="{A846082A-A685-4AC3-9C5F-FE23A3ED3220}" type="presOf" srcId="{285489D7-2008-448A-8D6B-8A73C0AFF565}" destId="{8DE11468-0525-4BF8-84A1-108334F490A0}" srcOrd="0" destOrd="0" presId="urn:microsoft.com/office/officeart/2005/8/layout/arrow6"/>
    <dgm:cxn modelId="{BCA1B078-8CAA-4BB4-8C48-9B1A876E91A7}" srcId="{285489D7-2008-448A-8D6B-8A73C0AFF565}" destId="{C8963FDF-69DC-4915-BCC3-F789BA9253ED}" srcOrd="0" destOrd="0" parTransId="{0B1A32FB-EB04-469B-969B-765A53132316}" sibTransId="{0B4F00EC-8424-415B-AE5F-9EBDB7E9853B}"/>
    <dgm:cxn modelId="{A8250F90-C6F5-4E37-96C0-FE625A199648}" type="presOf" srcId="{37CBD209-20B1-4699-B61A-EFC93D0D02AE}" destId="{04C13282-8EA3-47A0-8566-02645B4F94BA}" srcOrd="0" destOrd="0" presId="urn:microsoft.com/office/officeart/2005/8/layout/arrow6"/>
    <dgm:cxn modelId="{31B557DB-F7EE-4986-98E7-CE0EF66075DE}" type="presOf" srcId="{C8963FDF-69DC-4915-BCC3-F789BA9253ED}" destId="{E72FCEE6-9119-4366-88F5-3067157806C1}" srcOrd="0" destOrd="0" presId="urn:microsoft.com/office/officeart/2005/8/layout/arrow6"/>
    <dgm:cxn modelId="{6E7CB8BF-9E8F-4458-B6BE-5AD549A35F72}" type="presParOf" srcId="{8DE11468-0525-4BF8-84A1-108334F490A0}" destId="{E8BEC71C-4716-4468-ABE6-7ED0965C8FBF}" srcOrd="0" destOrd="0" presId="urn:microsoft.com/office/officeart/2005/8/layout/arrow6"/>
    <dgm:cxn modelId="{2E0F3735-7795-4AD3-A90A-36143A536E92}" type="presParOf" srcId="{8DE11468-0525-4BF8-84A1-108334F490A0}" destId="{E72FCEE6-9119-4366-88F5-3067157806C1}" srcOrd="1" destOrd="0" presId="urn:microsoft.com/office/officeart/2005/8/layout/arrow6"/>
    <dgm:cxn modelId="{59412E7F-4BE8-4ED7-A7DC-6862605181F6}" type="presParOf" srcId="{8DE11468-0525-4BF8-84A1-108334F490A0}" destId="{04C13282-8EA3-47A0-8566-02645B4F94BA}" srcOrd="2" destOrd="0" presId="urn:microsoft.com/office/officeart/2005/8/layout/arrow6"/>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0C2E65A-8725-47E0-8B98-A5D3DD42508E}" type="doc">
      <dgm:prSet loTypeId="urn:microsoft.com/office/officeart/2005/8/layout/default" loCatId="list" qsTypeId="urn:microsoft.com/office/officeart/2005/8/quickstyle/3d1" qsCatId="3D" csTypeId="urn:microsoft.com/office/officeart/2005/8/colors/accent1_2" csCatId="accent1" phldr="1"/>
      <dgm:spPr/>
      <dgm:t>
        <a:bodyPr/>
        <a:lstStyle/>
        <a:p>
          <a:endParaRPr lang="pt-BR"/>
        </a:p>
      </dgm:t>
    </dgm:pt>
    <dgm:pt modelId="{9D4D50CD-3EF9-4022-A70A-61BE5CAD06CB}">
      <dgm:prSet phldrT="[Texto]" custT="1"/>
      <dgm:spPr/>
      <dgm:t>
        <a:bodyPr/>
        <a:lstStyle/>
        <a:p>
          <a:pPr algn="ctr">
            <a:lnSpc>
              <a:spcPct val="100000"/>
            </a:lnSpc>
            <a:spcBef>
              <a:spcPts val="0"/>
            </a:spcBef>
            <a:spcAft>
              <a:spcPts val="0"/>
            </a:spcAft>
          </a:pPr>
          <a:r>
            <a:rPr lang="pt-PT" sz="1200">
              <a:latin typeface="+mn-lt"/>
              <a:cs typeface="Times New Roman" panose="02020603050405020304" pitchFamily="18" charset="0"/>
            </a:rPr>
            <a:t>Relevância Estratégica do Processo</a:t>
          </a:r>
        </a:p>
        <a:p>
          <a:pPr algn="ctr">
            <a:lnSpc>
              <a:spcPct val="100000"/>
            </a:lnSpc>
            <a:spcBef>
              <a:spcPts val="0"/>
            </a:spcBef>
            <a:spcAft>
              <a:spcPts val="0"/>
            </a:spcAft>
          </a:pPr>
          <a:r>
            <a:rPr lang="pt-BR" sz="1200">
              <a:latin typeface="+mn-lt"/>
              <a:cs typeface="Times New Roman" panose="02020603050405020304" pitchFamily="18" charset="0"/>
            </a:rPr>
            <a:t>(41%)</a:t>
          </a:r>
        </a:p>
      </dgm:t>
    </dgm:pt>
    <dgm:pt modelId="{85AD96A2-09F3-45A8-95CA-3DE6C64852A4}" type="parTrans" cxnId="{F5306FCE-679A-413D-AB9D-ADFE7FCD6AC2}">
      <dgm:prSet/>
      <dgm:spPr/>
      <dgm:t>
        <a:bodyPr/>
        <a:lstStyle/>
        <a:p>
          <a:pPr algn="ctr">
            <a:lnSpc>
              <a:spcPct val="100000"/>
            </a:lnSpc>
            <a:spcBef>
              <a:spcPts val="0"/>
            </a:spcBef>
            <a:spcAft>
              <a:spcPts val="0"/>
            </a:spcAft>
          </a:pPr>
          <a:endParaRPr lang="pt-BR" sz="1300">
            <a:latin typeface="Times New Roman" panose="02020603050405020304" pitchFamily="18" charset="0"/>
            <a:cs typeface="Times New Roman" panose="02020603050405020304" pitchFamily="18" charset="0"/>
          </a:endParaRPr>
        </a:p>
      </dgm:t>
    </dgm:pt>
    <dgm:pt modelId="{F508CC97-B0B1-45CA-9618-05A0542D4C99}" type="sibTrans" cxnId="{F5306FCE-679A-413D-AB9D-ADFE7FCD6AC2}">
      <dgm:prSet/>
      <dgm:spPr/>
      <dgm:t>
        <a:bodyPr/>
        <a:lstStyle/>
        <a:p>
          <a:pPr algn="ctr">
            <a:lnSpc>
              <a:spcPct val="100000"/>
            </a:lnSpc>
            <a:spcBef>
              <a:spcPts val="0"/>
            </a:spcBef>
            <a:spcAft>
              <a:spcPts val="0"/>
            </a:spcAft>
          </a:pPr>
          <a:endParaRPr lang="pt-BR" sz="1300">
            <a:latin typeface="Times New Roman" panose="02020603050405020304" pitchFamily="18" charset="0"/>
            <a:cs typeface="Times New Roman" panose="02020603050405020304" pitchFamily="18" charset="0"/>
          </a:endParaRPr>
        </a:p>
      </dgm:t>
    </dgm:pt>
    <dgm:pt modelId="{55CFB941-AD3B-4E65-A7BD-0254F9C74DAF}">
      <dgm:prSet phldrT="[Texto]" custT="1"/>
      <dgm:spPr/>
      <dgm:t>
        <a:bodyPr/>
        <a:lstStyle/>
        <a:p>
          <a:pPr algn="ctr">
            <a:lnSpc>
              <a:spcPct val="100000"/>
            </a:lnSpc>
            <a:spcBef>
              <a:spcPts val="0"/>
            </a:spcBef>
            <a:spcAft>
              <a:spcPts val="0"/>
            </a:spcAft>
          </a:pPr>
          <a:r>
            <a:rPr lang="pt-PT" sz="1200">
              <a:latin typeface="+mn-lt"/>
              <a:cs typeface="Times New Roman" panose="02020603050405020304" pitchFamily="18" charset="0"/>
            </a:rPr>
            <a:t>Recursos Tecnológicos (4%)</a:t>
          </a:r>
          <a:endParaRPr lang="pt-BR" sz="1200">
            <a:latin typeface="+mn-lt"/>
            <a:cs typeface="Times New Roman" panose="02020603050405020304" pitchFamily="18" charset="0"/>
          </a:endParaRPr>
        </a:p>
      </dgm:t>
    </dgm:pt>
    <dgm:pt modelId="{B73C1A58-8A27-431B-A64A-275F7A45C6DA}" type="parTrans" cxnId="{42C91761-59A8-4897-9038-B1F4B090E518}">
      <dgm:prSet/>
      <dgm:spPr/>
      <dgm:t>
        <a:bodyPr/>
        <a:lstStyle/>
        <a:p>
          <a:pPr algn="ctr">
            <a:lnSpc>
              <a:spcPct val="100000"/>
            </a:lnSpc>
            <a:spcBef>
              <a:spcPts val="0"/>
            </a:spcBef>
            <a:spcAft>
              <a:spcPts val="0"/>
            </a:spcAft>
          </a:pPr>
          <a:endParaRPr lang="pt-BR" sz="1300">
            <a:latin typeface="Times New Roman" panose="02020603050405020304" pitchFamily="18" charset="0"/>
            <a:cs typeface="Times New Roman" panose="02020603050405020304" pitchFamily="18" charset="0"/>
          </a:endParaRPr>
        </a:p>
      </dgm:t>
    </dgm:pt>
    <dgm:pt modelId="{32310F16-E25A-44B8-A816-DB86101B6EB4}" type="sibTrans" cxnId="{42C91761-59A8-4897-9038-B1F4B090E518}">
      <dgm:prSet/>
      <dgm:spPr/>
      <dgm:t>
        <a:bodyPr/>
        <a:lstStyle/>
        <a:p>
          <a:pPr algn="ctr">
            <a:lnSpc>
              <a:spcPct val="100000"/>
            </a:lnSpc>
            <a:spcBef>
              <a:spcPts val="0"/>
            </a:spcBef>
            <a:spcAft>
              <a:spcPts val="0"/>
            </a:spcAft>
          </a:pPr>
          <a:endParaRPr lang="pt-BR" sz="1300">
            <a:latin typeface="Times New Roman" panose="02020603050405020304" pitchFamily="18" charset="0"/>
            <a:cs typeface="Times New Roman" panose="02020603050405020304" pitchFamily="18" charset="0"/>
          </a:endParaRPr>
        </a:p>
      </dgm:t>
    </dgm:pt>
    <dgm:pt modelId="{8F6B94D5-B076-47B1-90A5-C546B8334666}">
      <dgm:prSet phldrT="[Texto]" custT="1"/>
      <dgm:spPr/>
      <dgm:t>
        <a:bodyPr/>
        <a:lstStyle/>
        <a:p>
          <a:pPr algn="ctr">
            <a:lnSpc>
              <a:spcPct val="100000"/>
            </a:lnSpc>
            <a:spcBef>
              <a:spcPts val="0"/>
            </a:spcBef>
            <a:spcAft>
              <a:spcPts val="0"/>
            </a:spcAft>
          </a:pPr>
          <a:r>
            <a:rPr lang="pt-PT" sz="1200">
              <a:latin typeface="+mn-lt"/>
              <a:cs typeface="Times New Roman" panose="02020603050405020304" pitchFamily="18" charset="0"/>
            </a:rPr>
            <a:t>Estrutura Organizacional (9%)</a:t>
          </a:r>
          <a:endParaRPr lang="pt-BR" sz="1200">
            <a:latin typeface="+mn-lt"/>
            <a:cs typeface="Times New Roman" panose="02020603050405020304" pitchFamily="18" charset="0"/>
          </a:endParaRPr>
        </a:p>
      </dgm:t>
    </dgm:pt>
    <dgm:pt modelId="{956A37ED-30BE-4DBC-8D5E-9697B7EE9929}" type="parTrans" cxnId="{B0087A48-A219-4845-BF23-0B3AE3D6E5C0}">
      <dgm:prSet/>
      <dgm:spPr/>
      <dgm:t>
        <a:bodyPr/>
        <a:lstStyle/>
        <a:p>
          <a:pPr algn="ctr">
            <a:lnSpc>
              <a:spcPct val="100000"/>
            </a:lnSpc>
            <a:spcBef>
              <a:spcPts val="0"/>
            </a:spcBef>
            <a:spcAft>
              <a:spcPts val="0"/>
            </a:spcAft>
          </a:pPr>
          <a:endParaRPr lang="pt-BR" sz="1300">
            <a:latin typeface="Times New Roman" panose="02020603050405020304" pitchFamily="18" charset="0"/>
            <a:cs typeface="Times New Roman" panose="02020603050405020304" pitchFamily="18" charset="0"/>
          </a:endParaRPr>
        </a:p>
      </dgm:t>
    </dgm:pt>
    <dgm:pt modelId="{EF7978BA-DCCB-4EE1-AE79-0E47E318D548}" type="sibTrans" cxnId="{B0087A48-A219-4845-BF23-0B3AE3D6E5C0}">
      <dgm:prSet/>
      <dgm:spPr/>
      <dgm:t>
        <a:bodyPr/>
        <a:lstStyle/>
        <a:p>
          <a:pPr algn="ctr">
            <a:lnSpc>
              <a:spcPct val="100000"/>
            </a:lnSpc>
            <a:spcBef>
              <a:spcPts val="0"/>
            </a:spcBef>
            <a:spcAft>
              <a:spcPts val="0"/>
            </a:spcAft>
          </a:pPr>
          <a:endParaRPr lang="pt-BR" sz="1300">
            <a:latin typeface="Times New Roman" panose="02020603050405020304" pitchFamily="18" charset="0"/>
            <a:cs typeface="Times New Roman" panose="02020603050405020304" pitchFamily="18" charset="0"/>
          </a:endParaRPr>
        </a:p>
      </dgm:t>
    </dgm:pt>
    <dgm:pt modelId="{798C63DA-5C27-4243-B662-001082799017}">
      <dgm:prSet phldrT="[Texto]" custT="1"/>
      <dgm:spPr/>
      <dgm:t>
        <a:bodyPr/>
        <a:lstStyle/>
        <a:p>
          <a:pPr algn="ctr">
            <a:lnSpc>
              <a:spcPct val="100000"/>
            </a:lnSpc>
            <a:spcBef>
              <a:spcPts val="0"/>
            </a:spcBef>
            <a:spcAft>
              <a:spcPts val="0"/>
            </a:spcAft>
          </a:pPr>
          <a:r>
            <a:rPr lang="pt-BR" sz="1200">
              <a:latin typeface="+mn-lt"/>
              <a:cs typeface="Times New Roman" panose="02020603050405020304" pitchFamily="18" charset="0"/>
            </a:rPr>
            <a:t>Demandas TCU/CGU/MP</a:t>
          </a:r>
        </a:p>
        <a:p>
          <a:pPr algn="ctr">
            <a:lnSpc>
              <a:spcPct val="100000"/>
            </a:lnSpc>
            <a:spcBef>
              <a:spcPts val="0"/>
            </a:spcBef>
            <a:spcAft>
              <a:spcPts val="0"/>
            </a:spcAft>
          </a:pPr>
          <a:r>
            <a:rPr lang="pt-BR" sz="1200">
              <a:latin typeface="+mn-lt"/>
              <a:cs typeface="Times New Roman" panose="02020603050405020304" pitchFamily="18" charset="0"/>
            </a:rPr>
            <a:t>(27%)</a:t>
          </a:r>
        </a:p>
      </dgm:t>
    </dgm:pt>
    <dgm:pt modelId="{AEADA8DC-C6A5-4A0A-829F-078C6C3B836A}" type="parTrans" cxnId="{10FF318F-EE24-41A0-922A-F23B85814338}">
      <dgm:prSet/>
      <dgm:spPr/>
      <dgm:t>
        <a:bodyPr/>
        <a:lstStyle/>
        <a:p>
          <a:pPr algn="ctr">
            <a:lnSpc>
              <a:spcPct val="100000"/>
            </a:lnSpc>
            <a:spcBef>
              <a:spcPts val="0"/>
            </a:spcBef>
            <a:spcAft>
              <a:spcPts val="0"/>
            </a:spcAft>
          </a:pPr>
          <a:endParaRPr lang="pt-BR"/>
        </a:p>
      </dgm:t>
    </dgm:pt>
    <dgm:pt modelId="{8EEAFCD8-9E7D-47E4-8841-3A6A01C5818C}" type="sibTrans" cxnId="{10FF318F-EE24-41A0-922A-F23B85814338}">
      <dgm:prSet/>
      <dgm:spPr/>
      <dgm:t>
        <a:bodyPr/>
        <a:lstStyle/>
        <a:p>
          <a:pPr algn="ctr">
            <a:lnSpc>
              <a:spcPct val="100000"/>
            </a:lnSpc>
            <a:spcBef>
              <a:spcPts val="0"/>
            </a:spcBef>
            <a:spcAft>
              <a:spcPts val="0"/>
            </a:spcAft>
          </a:pPr>
          <a:endParaRPr lang="pt-BR"/>
        </a:p>
      </dgm:t>
    </dgm:pt>
    <dgm:pt modelId="{F633BD1A-2ED4-48E4-BF15-FE979DBE15E0}">
      <dgm:prSet phldrT="[Texto]" custT="1"/>
      <dgm:spPr/>
      <dgm:t>
        <a:bodyPr/>
        <a:lstStyle/>
        <a:p>
          <a:pPr algn="ctr">
            <a:lnSpc>
              <a:spcPct val="100000"/>
            </a:lnSpc>
            <a:spcBef>
              <a:spcPts val="0"/>
            </a:spcBef>
            <a:spcAft>
              <a:spcPts val="0"/>
            </a:spcAft>
          </a:pPr>
          <a:r>
            <a:rPr lang="pt-BR" sz="1200">
              <a:latin typeface="+mn-lt"/>
              <a:cs typeface="Times New Roman" panose="02020603050405020304" pitchFamily="18" charset="0"/>
            </a:rPr>
            <a:t>Recursos Humanos (2%)</a:t>
          </a:r>
        </a:p>
      </dgm:t>
    </dgm:pt>
    <dgm:pt modelId="{CC191F30-FFE1-4E1E-89BF-87DFAFCA275A}" type="parTrans" cxnId="{54082CB8-A058-4E9E-A4F6-620CF43A95B6}">
      <dgm:prSet/>
      <dgm:spPr/>
      <dgm:t>
        <a:bodyPr/>
        <a:lstStyle/>
        <a:p>
          <a:pPr algn="ctr">
            <a:lnSpc>
              <a:spcPct val="100000"/>
            </a:lnSpc>
            <a:spcBef>
              <a:spcPts val="0"/>
            </a:spcBef>
            <a:spcAft>
              <a:spcPts val="0"/>
            </a:spcAft>
          </a:pPr>
          <a:endParaRPr lang="pt-BR"/>
        </a:p>
      </dgm:t>
    </dgm:pt>
    <dgm:pt modelId="{FE0E05F7-286C-40F5-8AE6-C4DB34549E56}" type="sibTrans" cxnId="{54082CB8-A058-4E9E-A4F6-620CF43A95B6}">
      <dgm:prSet/>
      <dgm:spPr/>
      <dgm:t>
        <a:bodyPr/>
        <a:lstStyle/>
        <a:p>
          <a:pPr algn="ctr">
            <a:lnSpc>
              <a:spcPct val="100000"/>
            </a:lnSpc>
            <a:spcBef>
              <a:spcPts val="0"/>
            </a:spcBef>
            <a:spcAft>
              <a:spcPts val="0"/>
            </a:spcAft>
          </a:pPr>
          <a:endParaRPr lang="pt-BR"/>
        </a:p>
      </dgm:t>
    </dgm:pt>
    <dgm:pt modelId="{79E2084C-3511-4623-BA5A-8DE4B328675B}">
      <dgm:prSet phldrT="[Texto]" custT="1"/>
      <dgm:spPr/>
      <dgm:t>
        <a:bodyPr/>
        <a:lstStyle/>
        <a:p>
          <a:pPr algn="ctr">
            <a:lnSpc>
              <a:spcPct val="100000"/>
            </a:lnSpc>
            <a:spcBef>
              <a:spcPts val="0"/>
            </a:spcBef>
            <a:spcAft>
              <a:spcPts val="0"/>
            </a:spcAft>
          </a:pPr>
          <a:r>
            <a:rPr lang="pt-BR" sz="1200">
              <a:latin typeface="+mn-lt"/>
              <a:cs typeface="Times New Roman" panose="02020603050405020304" pitchFamily="18" charset="0"/>
            </a:rPr>
            <a:t>Demanda Judicial em Saúde (17%)</a:t>
          </a:r>
        </a:p>
      </dgm:t>
    </dgm:pt>
    <dgm:pt modelId="{2D82D893-69FB-4C85-8E68-9DDD21542D40}" type="parTrans" cxnId="{D051DE1C-AE44-48C9-ACD8-A7CBCB276491}">
      <dgm:prSet/>
      <dgm:spPr/>
      <dgm:t>
        <a:bodyPr/>
        <a:lstStyle/>
        <a:p>
          <a:pPr>
            <a:lnSpc>
              <a:spcPct val="100000"/>
            </a:lnSpc>
          </a:pPr>
          <a:endParaRPr lang="pt-BR"/>
        </a:p>
      </dgm:t>
    </dgm:pt>
    <dgm:pt modelId="{7CE5547F-78ED-4A17-9389-EE9609263353}" type="sibTrans" cxnId="{D051DE1C-AE44-48C9-ACD8-A7CBCB276491}">
      <dgm:prSet/>
      <dgm:spPr/>
      <dgm:t>
        <a:bodyPr/>
        <a:lstStyle/>
        <a:p>
          <a:pPr>
            <a:lnSpc>
              <a:spcPct val="100000"/>
            </a:lnSpc>
          </a:pPr>
          <a:endParaRPr lang="pt-BR"/>
        </a:p>
      </dgm:t>
    </dgm:pt>
    <dgm:pt modelId="{E25BE2E8-FB33-4C1F-92FE-16E7556CDAF7}" type="pres">
      <dgm:prSet presAssocID="{20C2E65A-8725-47E0-8B98-A5D3DD42508E}" presName="diagram" presStyleCnt="0">
        <dgm:presLayoutVars>
          <dgm:dir/>
          <dgm:resizeHandles val="exact"/>
        </dgm:presLayoutVars>
      </dgm:prSet>
      <dgm:spPr/>
    </dgm:pt>
    <dgm:pt modelId="{203F2C2E-4614-458F-A95F-8BECB13755F7}" type="pres">
      <dgm:prSet presAssocID="{9D4D50CD-3EF9-4022-A70A-61BE5CAD06CB}" presName="node" presStyleLbl="node1" presStyleIdx="0" presStyleCnt="6">
        <dgm:presLayoutVars>
          <dgm:bulletEnabled val="1"/>
        </dgm:presLayoutVars>
      </dgm:prSet>
      <dgm:spPr/>
    </dgm:pt>
    <dgm:pt modelId="{4C42F487-99DB-4116-9F83-775B11FA1741}" type="pres">
      <dgm:prSet presAssocID="{F508CC97-B0B1-45CA-9618-05A0542D4C99}" presName="sibTrans" presStyleCnt="0"/>
      <dgm:spPr/>
    </dgm:pt>
    <dgm:pt modelId="{72D9C948-6A8E-4CCB-8F29-9EA13B23B069}" type="pres">
      <dgm:prSet presAssocID="{798C63DA-5C27-4243-B662-001082799017}" presName="node" presStyleLbl="node1" presStyleIdx="1" presStyleCnt="6">
        <dgm:presLayoutVars>
          <dgm:bulletEnabled val="1"/>
        </dgm:presLayoutVars>
      </dgm:prSet>
      <dgm:spPr/>
    </dgm:pt>
    <dgm:pt modelId="{F1E5E06B-D973-48D8-8B6A-DEEB98BA32CE}" type="pres">
      <dgm:prSet presAssocID="{8EEAFCD8-9E7D-47E4-8841-3A6A01C5818C}" presName="sibTrans" presStyleCnt="0"/>
      <dgm:spPr/>
    </dgm:pt>
    <dgm:pt modelId="{B59797EC-1B2E-44D9-8EA3-DDA4169FF729}" type="pres">
      <dgm:prSet presAssocID="{79E2084C-3511-4623-BA5A-8DE4B328675B}" presName="node" presStyleLbl="node1" presStyleIdx="2" presStyleCnt="6">
        <dgm:presLayoutVars>
          <dgm:bulletEnabled val="1"/>
        </dgm:presLayoutVars>
      </dgm:prSet>
      <dgm:spPr/>
    </dgm:pt>
    <dgm:pt modelId="{94513C59-94D6-4924-ADC8-B552DD130A5B}" type="pres">
      <dgm:prSet presAssocID="{7CE5547F-78ED-4A17-9389-EE9609263353}" presName="sibTrans" presStyleCnt="0"/>
      <dgm:spPr/>
    </dgm:pt>
    <dgm:pt modelId="{03EAEE2A-CD6D-44B8-B48D-57E3AD195F09}" type="pres">
      <dgm:prSet presAssocID="{F633BD1A-2ED4-48E4-BF15-FE979DBE15E0}" presName="node" presStyleLbl="node1" presStyleIdx="3" presStyleCnt="6">
        <dgm:presLayoutVars>
          <dgm:bulletEnabled val="1"/>
        </dgm:presLayoutVars>
      </dgm:prSet>
      <dgm:spPr/>
    </dgm:pt>
    <dgm:pt modelId="{9275C17F-5921-49A8-94C8-B3548508E1D1}" type="pres">
      <dgm:prSet presAssocID="{FE0E05F7-286C-40F5-8AE6-C4DB34549E56}" presName="sibTrans" presStyleCnt="0"/>
      <dgm:spPr/>
    </dgm:pt>
    <dgm:pt modelId="{60D94C37-E565-4069-B074-BB1723F7B936}" type="pres">
      <dgm:prSet presAssocID="{55CFB941-AD3B-4E65-A7BD-0254F9C74DAF}" presName="node" presStyleLbl="node1" presStyleIdx="4" presStyleCnt="6">
        <dgm:presLayoutVars>
          <dgm:bulletEnabled val="1"/>
        </dgm:presLayoutVars>
      </dgm:prSet>
      <dgm:spPr/>
    </dgm:pt>
    <dgm:pt modelId="{1A830F6C-2C4B-477E-9069-ECDE54DCCA2B}" type="pres">
      <dgm:prSet presAssocID="{32310F16-E25A-44B8-A816-DB86101B6EB4}" presName="sibTrans" presStyleCnt="0"/>
      <dgm:spPr/>
    </dgm:pt>
    <dgm:pt modelId="{1DD907AC-282F-4C81-B783-4F1AE380C592}" type="pres">
      <dgm:prSet presAssocID="{8F6B94D5-B076-47B1-90A5-C546B8334666}" presName="node" presStyleLbl="node1" presStyleIdx="5" presStyleCnt="6">
        <dgm:presLayoutVars>
          <dgm:bulletEnabled val="1"/>
        </dgm:presLayoutVars>
      </dgm:prSet>
      <dgm:spPr/>
    </dgm:pt>
  </dgm:ptLst>
  <dgm:cxnLst>
    <dgm:cxn modelId="{F3524410-9E54-44CF-B9F3-EB58E8FA72A5}" type="presOf" srcId="{9D4D50CD-3EF9-4022-A70A-61BE5CAD06CB}" destId="{203F2C2E-4614-458F-A95F-8BECB13755F7}" srcOrd="0" destOrd="0" presId="urn:microsoft.com/office/officeart/2005/8/layout/default"/>
    <dgm:cxn modelId="{D051DE1C-AE44-48C9-ACD8-A7CBCB276491}" srcId="{20C2E65A-8725-47E0-8B98-A5D3DD42508E}" destId="{79E2084C-3511-4623-BA5A-8DE4B328675B}" srcOrd="2" destOrd="0" parTransId="{2D82D893-69FB-4C85-8E68-9DDD21542D40}" sibTransId="{7CE5547F-78ED-4A17-9389-EE9609263353}"/>
    <dgm:cxn modelId="{865F941E-434E-485C-BC77-233D8A6ED895}" type="presOf" srcId="{20C2E65A-8725-47E0-8B98-A5D3DD42508E}" destId="{E25BE2E8-FB33-4C1F-92FE-16E7556CDAF7}" srcOrd="0" destOrd="0" presId="urn:microsoft.com/office/officeart/2005/8/layout/default"/>
    <dgm:cxn modelId="{935D2C24-40BB-4666-9E3C-3C0063B6619B}" type="presOf" srcId="{79E2084C-3511-4623-BA5A-8DE4B328675B}" destId="{B59797EC-1B2E-44D9-8EA3-DDA4169FF729}" srcOrd="0" destOrd="0" presId="urn:microsoft.com/office/officeart/2005/8/layout/default"/>
    <dgm:cxn modelId="{42C91761-59A8-4897-9038-B1F4B090E518}" srcId="{20C2E65A-8725-47E0-8B98-A5D3DD42508E}" destId="{55CFB941-AD3B-4E65-A7BD-0254F9C74DAF}" srcOrd="4" destOrd="0" parTransId="{B73C1A58-8A27-431B-A64A-275F7A45C6DA}" sibTransId="{32310F16-E25A-44B8-A816-DB86101B6EB4}"/>
    <dgm:cxn modelId="{B0087A48-A219-4845-BF23-0B3AE3D6E5C0}" srcId="{20C2E65A-8725-47E0-8B98-A5D3DD42508E}" destId="{8F6B94D5-B076-47B1-90A5-C546B8334666}" srcOrd="5" destOrd="0" parTransId="{956A37ED-30BE-4DBC-8D5E-9697B7EE9929}" sibTransId="{EF7978BA-DCCB-4EE1-AE79-0E47E318D548}"/>
    <dgm:cxn modelId="{10FF318F-EE24-41A0-922A-F23B85814338}" srcId="{20C2E65A-8725-47E0-8B98-A5D3DD42508E}" destId="{798C63DA-5C27-4243-B662-001082799017}" srcOrd="1" destOrd="0" parTransId="{AEADA8DC-C6A5-4A0A-829F-078C6C3B836A}" sibTransId="{8EEAFCD8-9E7D-47E4-8841-3A6A01C5818C}"/>
    <dgm:cxn modelId="{54082CB8-A058-4E9E-A4F6-620CF43A95B6}" srcId="{20C2E65A-8725-47E0-8B98-A5D3DD42508E}" destId="{F633BD1A-2ED4-48E4-BF15-FE979DBE15E0}" srcOrd="3" destOrd="0" parTransId="{CC191F30-FFE1-4E1E-89BF-87DFAFCA275A}" sibTransId="{FE0E05F7-286C-40F5-8AE6-C4DB34549E56}"/>
    <dgm:cxn modelId="{061F09CC-83DE-4021-AE98-B7420C243E53}" type="presOf" srcId="{55CFB941-AD3B-4E65-A7BD-0254F9C74DAF}" destId="{60D94C37-E565-4069-B074-BB1723F7B936}" srcOrd="0" destOrd="0" presId="urn:microsoft.com/office/officeart/2005/8/layout/default"/>
    <dgm:cxn modelId="{F5306FCE-679A-413D-AB9D-ADFE7FCD6AC2}" srcId="{20C2E65A-8725-47E0-8B98-A5D3DD42508E}" destId="{9D4D50CD-3EF9-4022-A70A-61BE5CAD06CB}" srcOrd="0" destOrd="0" parTransId="{85AD96A2-09F3-45A8-95CA-3DE6C64852A4}" sibTransId="{F508CC97-B0B1-45CA-9618-05A0542D4C99}"/>
    <dgm:cxn modelId="{8B4E8ED0-2D51-4F4D-B452-A9E037BE9818}" type="presOf" srcId="{798C63DA-5C27-4243-B662-001082799017}" destId="{72D9C948-6A8E-4CCB-8F29-9EA13B23B069}" srcOrd="0" destOrd="0" presId="urn:microsoft.com/office/officeart/2005/8/layout/default"/>
    <dgm:cxn modelId="{8F3BBAD0-0931-4DB7-8E92-988826F8517E}" type="presOf" srcId="{8F6B94D5-B076-47B1-90A5-C546B8334666}" destId="{1DD907AC-282F-4C81-B783-4F1AE380C592}" srcOrd="0" destOrd="0" presId="urn:microsoft.com/office/officeart/2005/8/layout/default"/>
    <dgm:cxn modelId="{A03B3AFC-6E81-4FCB-8514-D1B7E80B2A6F}" type="presOf" srcId="{F633BD1A-2ED4-48E4-BF15-FE979DBE15E0}" destId="{03EAEE2A-CD6D-44B8-B48D-57E3AD195F09}" srcOrd="0" destOrd="0" presId="urn:microsoft.com/office/officeart/2005/8/layout/default"/>
    <dgm:cxn modelId="{93A006CD-BB16-4CB5-ABFF-CBD2A6034132}" type="presParOf" srcId="{E25BE2E8-FB33-4C1F-92FE-16E7556CDAF7}" destId="{203F2C2E-4614-458F-A95F-8BECB13755F7}" srcOrd="0" destOrd="0" presId="urn:microsoft.com/office/officeart/2005/8/layout/default"/>
    <dgm:cxn modelId="{DC14F93C-258D-42E9-935C-F385C6903480}" type="presParOf" srcId="{E25BE2E8-FB33-4C1F-92FE-16E7556CDAF7}" destId="{4C42F487-99DB-4116-9F83-775B11FA1741}" srcOrd="1" destOrd="0" presId="urn:microsoft.com/office/officeart/2005/8/layout/default"/>
    <dgm:cxn modelId="{70102492-8A31-431B-A590-C3CC49D268D9}" type="presParOf" srcId="{E25BE2E8-FB33-4C1F-92FE-16E7556CDAF7}" destId="{72D9C948-6A8E-4CCB-8F29-9EA13B23B069}" srcOrd="2" destOrd="0" presId="urn:microsoft.com/office/officeart/2005/8/layout/default"/>
    <dgm:cxn modelId="{A48F32D1-7DFB-4D84-B0B2-B7DF2F6391B3}" type="presParOf" srcId="{E25BE2E8-FB33-4C1F-92FE-16E7556CDAF7}" destId="{F1E5E06B-D973-48D8-8B6A-DEEB98BA32CE}" srcOrd="3" destOrd="0" presId="urn:microsoft.com/office/officeart/2005/8/layout/default"/>
    <dgm:cxn modelId="{424B1EA9-68ED-4D41-B903-64874CBF9537}" type="presParOf" srcId="{E25BE2E8-FB33-4C1F-92FE-16E7556CDAF7}" destId="{B59797EC-1B2E-44D9-8EA3-DDA4169FF729}" srcOrd="4" destOrd="0" presId="urn:microsoft.com/office/officeart/2005/8/layout/default"/>
    <dgm:cxn modelId="{5CC29CBF-C90B-41B4-A283-7EEC077EF820}" type="presParOf" srcId="{E25BE2E8-FB33-4C1F-92FE-16E7556CDAF7}" destId="{94513C59-94D6-4924-ADC8-B552DD130A5B}" srcOrd="5" destOrd="0" presId="urn:microsoft.com/office/officeart/2005/8/layout/default"/>
    <dgm:cxn modelId="{E2F8DF1C-6FDD-441C-9FBF-22696FF35B9B}" type="presParOf" srcId="{E25BE2E8-FB33-4C1F-92FE-16E7556CDAF7}" destId="{03EAEE2A-CD6D-44B8-B48D-57E3AD195F09}" srcOrd="6" destOrd="0" presId="urn:microsoft.com/office/officeart/2005/8/layout/default"/>
    <dgm:cxn modelId="{D204542E-01FC-4935-8C0D-64745DA1C91E}" type="presParOf" srcId="{E25BE2E8-FB33-4C1F-92FE-16E7556CDAF7}" destId="{9275C17F-5921-49A8-94C8-B3548508E1D1}" srcOrd="7" destOrd="0" presId="urn:microsoft.com/office/officeart/2005/8/layout/default"/>
    <dgm:cxn modelId="{FD5AB4CC-597B-4F00-A598-1E3EF5793F38}" type="presParOf" srcId="{E25BE2E8-FB33-4C1F-92FE-16E7556CDAF7}" destId="{60D94C37-E565-4069-B074-BB1723F7B936}" srcOrd="8" destOrd="0" presId="urn:microsoft.com/office/officeart/2005/8/layout/default"/>
    <dgm:cxn modelId="{6CE1BC79-E941-42C5-97E8-986F38817621}" type="presParOf" srcId="{E25BE2E8-FB33-4C1F-92FE-16E7556CDAF7}" destId="{1A830F6C-2C4B-477E-9069-ECDE54DCCA2B}" srcOrd="9" destOrd="0" presId="urn:microsoft.com/office/officeart/2005/8/layout/default"/>
    <dgm:cxn modelId="{F934298C-0825-4751-A11B-3A15BE1D74FE}" type="presParOf" srcId="{E25BE2E8-FB33-4C1F-92FE-16E7556CDAF7}" destId="{1DD907AC-282F-4C81-B783-4F1AE380C592}" srcOrd="10" destOrd="0" presId="urn:microsoft.com/office/officeart/2005/8/layout/default"/>
  </dgm:cxnLst>
  <dgm:bg/>
  <dgm:whole/>
  <dgm:extLst>
    <a:ext uri="http://schemas.microsoft.com/office/drawing/2008/diagram">
      <dsp:dataModelExt xmlns:dsp="http://schemas.microsoft.com/office/drawing/2008/diagram" relId="rId67"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81249A1C-45E3-4C34-A1E0-A19C174947C1}" type="doc">
      <dgm:prSet loTypeId="urn:microsoft.com/office/officeart/2005/8/layout/hList6" loCatId="list" qsTypeId="urn:microsoft.com/office/officeart/2005/8/quickstyle/simple2" qsCatId="simple" csTypeId="urn:microsoft.com/office/officeart/2005/8/colors/accent6_5" csCatId="accent6" phldr="1"/>
      <dgm:spPr/>
    </dgm:pt>
    <dgm:pt modelId="{C61DB785-68E4-414D-AA28-CE4156FBCEED}">
      <dgm:prSet phldrT="[Texto]"/>
      <dgm:spPr/>
      <dgm:t>
        <a:bodyPr/>
        <a:lstStyle/>
        <a:p>
          <a:r>
            <a:rPr lang="pt-BR"/>
            <a:t>PA</a:t>
          </a:r>
        </a:p>
      </dgm:t>
    </dgm:pt>
    <dgm:pt modelId="{3FCA2EBA-5D05-4746-8B75-CDF14B061791}" type="parTrans" cxnId="{B90F8B4C-FC35-4796-8735-D12A3707C09F}">
      <dgm:prSet/>
      <dgm:spPr/>
      <dgm:t>
        <a:bodyPr/>
        <a:lstStyle/>
        <a:p>
          <a:endParaRPr lang="pt-BR"/>
        </a:p>
      </dgm:t>
    </dgm:pt>
    <dgm:pt modelId="{310EBF5C-6402-4ED3-BCED-2545B2E11CF2}" type="sibTrans" cxnId="{B90F8B4C-FC35-4796-8735-D12A3707C09F}">
      <dgm:prSet/>
      <dgm:spPr/>
      <dgm:t>
        <a:bodyPr/>
        <a:lstStyle/>
        <a:p>
          <a:endParaRPr lang="pt-BR"/>
        </a:p>
      </dgm:t>
    </dgm:pt>
    <dgm:pt modelId="{26DE30CE-700A-4DD5-A35E-BC2D23169F4E}">
      <dgm:prSet phldrT="[Texto]"/>
      <dgm:spPr/>
      <dgm:t>
        <a:bodyPr/>
        <a:lstStyle/>
        <a:p>
          <a:r>
            <a:rPr lang="pt-BR"/>
            <a:t>PM</a:t>
          </a:r>
        </a:p>
      </dgm:t>
    </dgm:pt>
    <dgm:pt modelId="{34A42DB3-C3C8-4F62-9B87-62C6BB551328}" type="parTrans" cxnId="{2FE81767-8B56-4479-B6FC-462F9883BA39}">
      <dgm:prSet/>
      <dgm:spPr/>
      <dgm:t>
        <a:bodyPr/>
        <a:lstStyle/>
        <a:p>
          <a:endParaRPr lang="pt-BR"/>
        </a:p>
      </dgm:t>
    </dgm:pt>
    <dgm:pt modelId="{0C39FB86-2788-4645-8D01-37BEBAC8BBC9}" type="sibTrans" cxnId="{2FE81767-8B56-4479-B6FC-462F9883BA39}">
      <dgm:prSet/>
      <dgm:spPr/>
      <dgm:t>
        <a:bodyPr/>
        <a:lstStyle/>
        <a:p>
          <a:endParaRPr lang="pt-BR"/>
        </a:p>
      </dgm:t>
    </dgm:pt>
    <dgm:pt modelId="{1B48599E-8E82-49F1-A4B7-53BE8321E490}">
      <dgm:prSet phldrT="[Texto]"/>
      <dgm:spPr/>
      <dgm:t>
        <a:bodyPr/>
        <a:lstStyle/>
        <a:p>
          <a:r>
            <a:rPr lang="pt-BR"/>
            <a:t>PB</a:t>
          </a:r>
        </a:p>
      </dgm:t>
    </dgm:pt>
    <dgm:pt modelId="{8DFD5F8A-46E8-4E27-9B7A-AFE12808D806}" type="parTrans" cxnId="{1187D21A-DF1B-4976-A5B4-6510256939FB}">
      <dgm:prSet/>
      <dgm:spPr/>
      <dgm:t>
        <a:bodyPr/>
        <a:lstStyle/>
        <a:p>
          <a:endParaRPr lang="pt-BR"/>
        </a:p>
      </dgm:t>
    </dgm:pt>
    <dgm:pt modelId="{65E27BA5-0436-4F85-9B40-EF59674C936B}" type="sibTrans" cxnId="{1187D21A-DF1B-4976-A5B4-6510256939FB}">
      <dgm:prSet/>
      <dgm:spPr/>
      <dgm:t>
        <a:bodyPr/>
        <a:lstStyle/>
        <a:p>
          <a:endParaRPr lang="pt-BR"/>
        </a:p>
      </dgm:t>
    </dgm:pt>
    <dgm:pt modelId="{7C0341C0-7682-4231-BFF9-9BE313161C93}" type="pres">
      <dgm:prSet presAssocID="{81249A1C-45E3-4C34-A1E0-A19C174947C1}" presName="Name0" presStyleCnt="0">
        <dgm:presLayoutVars>
          <dgm:dir/>
          <dgm:resizeHandles val="exact"/>
        </dgm:presLayoutVars>
      </dgm:prSet>
      <dgm:spPr/>
    </dgm:pt>
    <dgm:pt modelId="{1FDD6543-AF17-4ED0-96FF-D12D339C41B9}" type="pres">
      <dgm:prSet presAssocID="{C61DB785-68E4-414D-AA28-CE4156FBCEED}" presName="node" presStyleLbl="node1" presStyleIdx="0" presStyleCnt="3">
        <dgm:presLayoutVars>
          <dgm:bulletEnabled val="1"/>
        </dgm:presLayoutVars>
      </dgm:prSet>
      <dgm:spPr/>
    </dgm:pt>
    <dgm:pt modelId="{6287E390-DAC1-496F-9953-8D4AAA744E80}" type="pres">
      <dgm:prSet presAssocID="{310EBF5C-6402-4ED3-BCED-2545B2E11CF2}" presName="sibTrans" presStyleCnt="0"/>
      <dgm:spPr/>
    </dgm:pt>
    <dgm:pt modelId="{EB48026F-0334-46ED-907C-F5FD060A8553}" type="pres">
      <dgm:prSet presAssocID="{26DE30CE-700A-4DD5-A35E-BC2D23169F4E}" presName="node" presStyleLbl="node1" presStyleIdx="1" presStyleCnt="3">
        <dgm:presLayoutVars>
          <dgm:bulletEnabled val="1"/>
        </dgm:presLayoutVars>
      </dgm:prSet>
      <dgm:spPr/>
    </dgm:pt>
    <dgm:pt modelId="{FC668F7E-EA35-4BFD-BD1F-62F75FD2AFAA}" type="pres">
      <dgm:prSet presAssocID="{0C39FB86-2788-4645-8D01-37BEBAC8BBC9}" presName="sibTrans" presStyleCnt="0"/>
      <dgm:spPr/>
    </dgm:pt>
    <dgm:pt modelId="{9CD682A9-1EF9-4A52-B6FB-C9C868A43D7D}" type="pres">
      <dgm:prSet presAssocID="{1B48599E-8E82-49F1-A4B7-53BE8321E490}" presName="node" presStyleLbl="node1" presStyleIdx="2" presStyleCnt="3">
        <dgm:presLayoutVars>
          <dgm:bulletEnabled val="1"/>
        </dgm:presLayoutVars>
      </dgm:prSet>
      <dgm:spPr/>
    </dgm:pt>
  </dgm:ptLst>
  <dgm:cxnLst>
    <dgm:cxn modelId="{401D8010-C333-43AD-91BE-10BE8EB8979E}" type="presOf" srcId="{1B48599E-8E82-49F1-A4B7-53BE8321E490}" destId="{9CD682A9-1EF9-4A52-B6FB-C9C868A43D7D}" srcOrd="0" destOrd="0" presId="urn:microsoft.com/office/officeart/2005/8/layout/hList6"/>
    <dgm:cxn modelId="{1187D21A-DF1B-4976-A5B4-6510256939FB}" srcId="{81249A1C-45E3-4C34-A1E0-A19C174947C1}" destId="{1B48599E-8E82-49F1-A4B7-53BE8321E490}" srcOrd="2" destOrd="0" parTransId="{8DFD5F8A-46E8-4E27-9B7A-AFE12808D806}" sibTransId="{65E27BA5-0436-4F85-9B40-EF59674C936B}"/>
    <dgm:cxn modelId="{2FE81767-8B56-4479-B6FC-462F9883BA39}" srcId="{81249A1C-45E3-4C34-A1E0-A19C174947C1}" destId="{26DE30CE-700A-4DD5-A35E-BC2D23169F4E}" srcOrd="1" destOrd="0" parTransId="{34A42DB3-C3C8-4F62-9B87-62C6BB551328}" sibTransId="{0C39FB86-2788-4645-8D01-37BEBAC8BBC9}"/>
    <dgm:cxn modelId="{B90F8B4C-FC35-4796-8735-D12A3707C09F}" srcId="{81249A1C-45E3-4C34-A1E0-A19C174947C1}" destId="{C61DB785-68E4-414D-AA28-CE4156FBCEED}" srcOrd="0" destOrd="0" parTransId="{3FCA2EBA-5D05-4746-8B75-CDF14B061791}" sibTransId="{310EBF5C-6402-4ED3-BCED-2545B2E11CF2}"/>
    <dgm:cxn modelId="{3001994F-1CCE-4A36-A87A-2C1AB8AE445F}" type="presOf" srcId="{C61DB785-68E4-414D-AA28-CE4156FBCEED}" destId="{1FDD6543-AF17-4ED0-96FF-D12D339C41B9}" srcOrd="0" destOrd="0" presId="urn:microsoft.com/office/officeart/2005/8/layout/hList6"/>
    <dgm:cxn modelId="{AB48F577-3A8A-4689-9CB3-DDEEF976AED5}" type="presOf" srcId="{26DE30CE-700A-4DD5-A35E-BC2D23169F4E}" destId="{EB48026F-0334-46ED-907C-F5FD060A8553}" srcOrd="0" destOrd="0" presId="urn:microsoft.com/office/officeart/2005/8/layout/hList6"/>
    <dgm:cxn modelId="{4402FD7C-4989-4061-9F02-73572B9CEF6E}" type="presOf" srcId="{81249A1C-45E3-4C34-A1E0-A19C174947C1}" destId="{7C0341C0-7682-4231-BFF9-9BE313161C93}" srcOrd="0" destOrd="0" presId="urn:microsoft.com/office/officeart/2005/8/layout/hList6"/>
    <dgm:cxn modelId="{09E7EAB9-2F48-4019-9E1E-B224C59A17FB}" type="presParOf" srcId="{7C0341C0-7682-4231-BFF9-9BE313161C93}" destId="{1FDD6543-AF17-4ED0-96FF-D12D339C41B9}" srcOrd="0" destOrd="0" presId="urn:microsoft.com/office/officeart/2005/8/layout/hList6"/>
    <dgm:cxn modelId="{6671B3B4-9126-46AF-9EC7-6F8247AC8DA5}" type="presParOf" srcId="{7C0341C0-7682-4231-BFF9-9BE313161C93}" destId="{6287E390-DAC1-496F-9953-8D4AAA744E80}" srcOrd="1" destOrd="0" presId="urn:microsoft.com/office/officeart/2005/8/layout/hList6"/>
    <dgm:cxn modelId="{8F438844-3708-4EC5-97D7-A8ADB3306AFB}" type="presParOf" srcId="{7C0341C0-7682-4231-BFF9-9BE313161C93}" destId="{EB48026F-0334-46ED-907C-F5FD060A8553}" srcOrd="2" destOrd="0" presId="urn:microsoft.com/office/officeart/2005/8/layout/hList6"/>
    <dgm:cxn modelId="{64037725-6ECB-4255-842B-E2AE819FB6D2}" type="presParOf" srcId="{7C0341C0-7682-4231-BFF9-9BE313161C93}" destId="{FC668F7E-EA35-4BFD-BD1F-62F75FD2AFAA}" srcOrd="3" destOrd="0" presId="urn:microsoft.com/office/officeart/2005/8/layout/hList6"/>
    <dgm:cxn modelId="{9F27ACBE-504C-48C0-A553-046F39169679}" type="presParOf" srcId="{7C0341C0-7682-4231-BFF9-9BE313161C93}" destId="{9CD682A9-1EF9-4A52-B6FB-C9C868A43D7D}" srcOrd="4" destOrd="0" presId="urn:microsoft.com/office/officeart/2005/8/layout/hList6"/>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46F350-8EF1-47C3-B333-5D8A34F25CDA}">
      <dsp:nvSpPr>
        <dsp:cNvPr id="0" name=""/>
        <dsp:cNvSpPr/>
      </dsp:nvSpPr>
      <dsp:spPr>
        <a:xfrm>
          <a:off x="1804531" y="390631"/>
          <a:ext cx="301590" cy="91440"/>
        </a:xfrm>
        <a:custGeom>
          <a:avLst/>
          <a:gdLst/>
          <a:ahLst/>
          <a:cxnLst/>
          <a:rect l="0" t="0" r="0" b="0"/>
          <a:pathLst>
            <a:path>
              <a:moveTo>
                <a:pt x="0" y="45720"/>
              </a:moveTo>
              <a:lnTo>
                <a:pt x="301590" y="45720"/>
              </a:lnTo>
            </a:path>
          </a:pathLst>
        </a:custGeom>
        <a:noFill/>
        <a:ln w="6350" cap="flat" cmpd="sng" algn="ctr">
          <a:solidFill>
            <a:schemeClr val="accent1">
              <a:shade val="90000"/>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p>
      </dsp:txBody>
      <dsp:txXfrm>
        <a:off x="1947022" y="434690"/>
        <a:ext cx="16609" cy="3321"/>
      </dsp:txXfrm>
    </dsp:sp>
    <dsp:sp modelId="{0D249F6F-FAA7-4E9B-AAB8-B542131049DB}">
      <dsp:nvSpPr>
        <dsp:cNvPr id="0" name=""/>
        <dsp:cNvSpPr/>
      </dsp:nvSpPr>
      <dsp:spPr>
        <a:xfrm>
          <a:off x="362026" y="3059"/>
          <a:ext cx="1444305" cy="866583"/>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pt-BR" sz="900" kern="1200"/>
            <a:t>Gerenciar riscos corporativos ao executar uma estratégia</a:t>
          </a:r>
        </a:p>
      </dsp:txBody>
      <dsp:txXfrm>
        <a:off x="362026" y="3059"/>
        <a:ext cx="1444305" cy="866583"/>
      </dsp:txXfrm>
    </dsp:sp>
    <dsp:sp modelId="{61BA72DE-C70C-412A-BADC-D781DBA3ECCA}">
      <dsp:nvSpPr>
        <dsp:cNvPr id="0" name=""/>
        <dsp:cNvSpPr/>
      </dsp:nvSpPr>
      <dsp:spPr>
        <a:xfrm>
          <a:off x="3581027" y="390631"/>
          <a:ext cx="301590" cy="91440"/>
        </a:xfrm>
        <a:custGeom>
          <a:avLst/>
          <a:gdLst/>
          <a:ahLst/>
          <a:cxnLst/>
          <a:rect l="0" t="0" r="0" b="0"/>
          <a:pathLst>
            <a:path>
              <a:moveTo>
                <a:pt x="0" y="45720"/>
              </a:moveTo>
              <a:lnTo>
                <a:pt x="301590" y="45720"/>
              </a:lnTo>
            </a:path>
          </a:pathLst>
        </a:custGeom>
        <a:noFill/>
        <a:ln w="6350" cap="flat" cmpd="sng" algn="ctr">
          <a:solidFill>
            <a:schemeClr val="accent1">
              <a:shade val="90000"/>
              <a:hueOff val="58204"/>
              <a:satOff val="-997"/>
              <a:lumOff val="399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p>
      </dsp:txBody>
      <dsp:txXfrm>
        <a:off x="3723518" y="434690"/>
        <a:ext cx="16609" cy="3321"/>
      </dsp:txXfrm>
    </dsp:sp>
    <dsp:sp modelId="{7786569B-1222-423C-9582-D21714BE6108}">
      <dsp:nvSpPr>
        <dsp:cNvPr id="0" name=""/>
        <dsp:cNvSpPr/>
      </dsp:nvSpPr>
      <dsp:spPr>
        <a:xfrm>
          <a:off x="2138522" y="3059"/>
          <a:ext cx="1444305" cy="866583"/>
        </a:xfrm>
        <a:prstGeom prst="rect">
          <a:avLst/>
        </a:prstGeom>
        <a:solidFill>
          <a:schemeClr val="accent1">
            <a:shade val="80000"/>
            <a:hueOff val="49898"/>
            <a:satOff val="-894"/>
            <a:lumOff val="379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pt-BR" sz="900" kern="1200"/>
            <a:t>Gerenciar riscos com objetivo de aperfeiçoar a definição de metas e entendimento do impacto sobre a performace</a:t>
          </a:r>
        </a:p>
      </dsp:txBody>
      <dsp:txXfrm>
        <a:off x="2138522" y="3059"/>
        <a:ext cx="1444305" cy="866583"/>
      </dsp:txXfrm>
    </dsp:sp>
    <dsp:sp modelId="{5DB13E46-626D-47ED-9F97-695CEF6C796F}">
      <dsp:nvSpPr>
        <dsp:cNvPr id="0" name=""/>
        <dsp:cNvSpPr/>
      </dsp:nvSpPr>
      <dsp:spPr>
        <a:xfrm>
          <a:off x="1084179" y="867843"/>
          <a:ext cx="3552991" cy="301590"/>
        </a:xfrm>
        <a:custGeom>
          <a:avLst/>
          <a:gdLst/>
          <a:ahLst/>
          <a:cxnLst/>
          <a:rect l="0" t="0" r="0" b="0"/>
          <a:pathLst>
            <a:path>
              <a:moveTo>
                <a:pt x="3552991" y="0"/>
              </a:moveTo>
              <a:lnTo>
                <a:pt x="3552991" y="167895"/>
              </a:lnTo>
              <a:lnTo>
                <a:pt x="0" y="167895"/>
              </a:lnTo>
              <a:lnTo>
                <a:pt x="0" y="301590"/>
              </a:lnTo>
            </a:path>
          </a:pathLst>
        </a:custGeom>
        <a:noFill/>
        <a:ln w="6350" cap="flat" cmpd="sng" algn="ctr">
          <a:solidFill>
            <a:schemeClr val="accent1">
              <a:shade val="90000"/>
              <a:hueOff val="116408"/>
              <a:satOff val="-1994"/>
              <a:lumOff val="7987"/>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p>
      </dsp:txBody>
      <dsp:txXfrm>
        <a:off x="2771462" y="1016977"/>
        <a:ext cx="178424" cy="3321"/>
      </dsp:txXfrm>
    </dsp:sp>
    <dsp:sp modelId="{36340D43-D41B-495E-9D95-632029C2FA3E}">
      <dsp:nvSpPr>
        <dsp:cNvPr id="0" name=""/>
        <dsp:cNvSpPr/>
      </dsp:nvSpPr>
      <dsp:spPr>
        <a:xfrm>
          <a:off x="3915018" y="3059"/>
          <a:ext cx="1444305" cy="866583"/>
        </a:xfrm>
        <a:prstGeom prst="rect">
          <a:avLst/>
        </a:prstGeom>
        <a:solidFill>
          <a:schemeClr val="accent1">
            <a:shade val="80000"/>
            <a:hueOff val="99795"/>
            <a:satOff val="-1787"/>
            <a:lumOff val="759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pt-BR" sz="900" kern="1200"/>
            <a:t>Contemplar a expectativa relativas à governança e supervisão</a:t>
          </a:r>
        </a:p>
      </dsp:txBody>
      <dsp:txXfrm>
        <a:off x="3915018" y="3059"/>
        <a:ext cx="1444305" cy="866583"/>
      </dsp:txXfrm>
    </dsp:sp>
    <dsp:sp modelId="{92F0E6A6-000C-4443-AC74-B7000117640A}">
      <dsp:nvSpPr>
        <dsp:cNvPr id="0" name=""/>
        <dsp:cNvSpPr/>
      </dsp:nvSpPr>
      <dsp:spPr>
        <a:xfrm>
          <a:off x="1804531" y="1589404"/>
          <a:ext cx="301590" cy="91440"/>
        </a:xfrm>
        <a:custGeom>
          <a:avLst/>
          <a:gdLst/>
          <a:ahLst/>
          <a:cxnLst/>
          <a:rect l="0" t="0" r="0" b="0"/>
          <a:pathLst>
            <a:path>
              <a:moveTo>
                <a:pt x="0" y="45720"/>
              </a:moveTo>
              <a:lnTo>
                <a:pt x="301590" y="45720"/>
              </a:lnTo>
            </a:path>
          </a:pathLst>
        </a:custGeom>
        <a:noFill/>
        <a:ln w="6350" cap="flat" cmpd="sng" algn="ctr">
          <a:solidFill>
            <a:schemeClr val="accent1">
              <a:shade val="90000"/>
              <a:hueOff val="174613"/>
              <a:satOff val="-2991"/>
              <a:lumOff val="1198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p>
      </dsp:txBody>
      <dsp:txXfrm>
        <a:off x="1947022" y="1633464"/>
        <a:ext cx="16609" cy="3321"/>
      </dsp:txXfrm>
    </dsp:sp>
    <dsp:sp modelId="{D0D8FE37-1250-45D7-A615-1796540C23E6}">
      <dsp:nvSpPr>
        <dsp:cNvPr id="0" name=""/>
        <dsp:cNvSpPr/>
      </dsp:nvSpPr>
      <dsp:spPr>
        <a:xfrm>
          <a:off x="362026" y="1201833"/>
          <a:ext cx="1444305" cy="866583"/>
        </a:xfrm>
        <a:prstGeom prst="rect">
          <a:avLst/>
        </a:prstGeom>
        <a:solidFill>
          <a:schemeClr val="accent1">
            <a:shade val="80000"/>
            <a:hueOff val="149693"/>
            <a:satOff val="-2681"/>
            <a:lumOff val="1139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pt-BR" sz="900" kern="1200"/>
            <a:t>Reconhecer a globalização</a:t>
          </a:r>
        </a:p>
      </dsp:txBody>
      <dsp:txXfrm>
        <a:off x="362026" y="1201833"/>
        <a:ext cx="1444305" cy="866583"/>
      </dsp:txXfrm>
    </dsp:sp>
    <dsp:sp modelId="{858666E0-8070-4EA9-9032-2B03F0466DD6}">
      <dsp:nvSpPr>
        <dsp:cNvPr id="0" name=""/>
        <dsp:cNvSpPr/>
      </dsp:nvSpPr>
      <dsp:spPr>
        <a:xfrm>
          <a:off x="3581027" y="1589404"/>
          <a:ext cx="301590" cy="91440"/>
        </a:xfrm>
        <a:custGeom>
          <a:avLst/>
          <a:gdLst/>
          <a:ahLst/>
          <a:cxnLst/>
          <a:rect l="0" t="0" r="0" b="0"/>
          <a:pathLst>
            <a:path>
              <a:moveTo>
                <a:pt x="0" y="45720"/>
              </a:moveTo>
              <a:lnTo>
                <a:pt x="301590" y="45720"/>
              </a:lnTo>
            </a:path>
          </a:pathLst>
        </a:custGeom>
        <a:noFill/>
        <a:ln w="6350" cap="flat" cmpd="sng" algn="ctr">
          <a:solidFill>
            <a:schemeClr val="accent1">
              <a:shade val="90000"/>
              <a:hueOff val="232817"/>
              <a:satOff val="-3987"/>
              <a:lumOff val="1597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p>
      </dsp:txBody>
      <dsp:txXfrm>
        <a:off x="3723518" y="1633464"/>
        <a:ext cx="16609" cy="3321"/>
      </dsp:txXfrm>
    </dsp:sp>
    <dsp:sp modelId="{A0BF09DB-CB98-4EA2-BF1F-73EFC9758586}">
      <dsp:nvSpPr>
        <dsp:cNvPr id="0" name=""/>
        <dsp:cNvSpPr/>
      </dsp:nvSpPr>
      <dsp:spPr>
        <a:xfrm>
          <a:off x="2138522" y="1201833"/>
          <a:ext cx="1444305" cy="866583"/>
        </a:xfrm>
        <a:prstGeom prst="rect">
          <a:avLst/>
        </a:prstGeom>
        <a:solidFill>
          <a:schemeClr val="accent1">
            <a:shade val="80000"/>
            <a:hueOff val="199590"/>
            <a:satOff val="-3575"/>
            <a:lumOff val="1519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pt-BR" sz="900" kern="1200"/>
            <a:t>Interpretar os riscos ao definir e atingir os objetivos institucionais</a:t>
          </a:r>
        </a:p>
      </dsp:txBody>
      <dsp:txXfrm>
        <a:off x="2138522" y="1201833"/>
        <a:ext cx="1444305" cy="866583"/>
      </dsp:txXfrm>
    </dsp:sp>
    <dsp:sp modelId="{A8A59ED1-4586-40A3-B655-AA127370B1DF}">
      <dsp:nvSpPr>
        <dsp:cNvPr id="0" name=""/>
        <dsp:cNvSpPr/>
      </dsp:nvSpPr>
      <dsp:spPr>
        <a:xfrm>
          <a:off x="1084179" y="2066616"/>
          <a:ext cx="3552991" cy="301590"/>
        </a:xfrm>
        <a:custGeom>
          <a:avLst/>
          <a:gdLst/>
          <a:ahLst/>
          <a:cxnLst/>
          <a:rect l="0" t="0" r="0" b="0"/>
          <a:pathLst>
            <a:path>
              <a:moveTo>
                <a:pt x="3552991" y="0"/>
              </a:moveTo>
              <a:lnTo>
                <a:pt x="3552991" y="167895"/>
              </a:lnTo>
              <a:lnTo>
                <a:pt x="0" y="167895"/>
              </a:lnTo>
              <a:lnTo>
                <a:pt x="0" y="301590"/>
              </a:lnTo>
            </a:path>
          </a:pathLst>
        </a:custGeom>
        <a:noFill/>
        <a:ln w="6350" cap="flat" cmpd="sng" algn="ctr">
          <a:solidFill>
            <a:schemeClr val="accent1">
              <a:shade val="90000"/>
              <a:hueOff val="291021"/>
              <a:satOff val="-4984"/>
              <a:lumOff val="19967"/>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p>
      </dsp:txBody>
      <dsp:txXfrm>
        <a:off x="2771462" y="2215750"/>
        <a:ext cx="178424" cy="3321"/>
      </dsp:txXfrm>
    </dsp:sp>
    <dsp:sp modelId="{679C267E-01EC-4731-8E5C-EFC1FB479CCA}">
      <dsp:nvSpPr>
        <dsp:cNvPr id="0" name=""/>
        <dsp:cNvSpPr/>
      </dsp:nvSpPr>
      <dsp:spPr>
        <a:xfrm>
          <a:off x="3915018" y="1201833"/>
          <a:ext cx="1444305" cy="866583"/>
        </a:xfrm>
        <a:prstGeom prst="rect">
          <a:avLst/>
        </a:prstGeom>
        <a:solidFill>
          <a:schemeClr val="accent1">
            <a:shade val="80000"/>
            <a:hueOff val="249488"/>
            <a:satOff val="-4469"/>
            <a:lumOff val="1898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pt-BR" sz="900" kern="1200"/>
            <a:t>Ampliar a transparência</a:t>
          </a:r>
        </a:p>
      </dsp:txBody>
      <dsp:txXfrm>
        <a:off x="3915018" y="1201833"/>
        <a:ext cx="1444305" cy="866583"/>
      </dsp:txXfrm>
    </dsp:sp>
    <dsp:sp modelId="{C98D6836-3DF4-49D6-A15F-84BF0D8A3EB2}">
      <dsp:nvSpPr>
        <dsp:cNvPr id="0" name=""/>
        <dsp:cNvSpPr/>
      </dsp:nvSpPr>
      <dsp:spPr>
        <a:xfrm>
          <a:off x="1804531" y="2788178"/>
          <a:ext cx="301590" cy="91440"/>
        </a:xfrm>
        <a:custGeom>
          <a:avLst/>
          <a:gdLst/>
          <a:ahLst/>
          <a:cxnLst/>
          <a:rect l="0" t="0" r="0" b="0"/>
          <a:pathLst>
            <a:path>
              <a:moveTo>
                <a:pt x="0" y="45720"/>
              </a:moveTo>
              <a:lnTo>
                <a:pt x="301590" y="45720"/>
              </a:lnTo>
            </a:path>
          </a:pathLst>
        </a:custGeom>
        <a:noFill/>
        <a:ln w="6350" cap="flat" cmpd="sng" algn="ctr">
          <a:solidFill>
            <a:schemeClr val="accent1">
              <a:shade val="90000"/>
              <a:hueOff val="349225"/>
              <a:satOff val="-5981"/>
              <a:lumOff val="2396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t-BR" sz="500" kern="1200"/>
        </a:p>
      </dsp:txBody>
      <dsp:txXfrm>
        <a:off x="1947022" y="2832237"/>
        <a:ext cx="16609" cy="3321"/>
      </dsp:txXfrm>
    </dsp:sp>
    <dsp:sp modelId="{739D0CB1-91F4-4C9A-BE64-4E88568F060B}">
      <dsp:nvSpPr>
        <dsp:cNvPr id="0" name=""/>
        <dsp:cNvSpPr/>
      </dsp:nvSpPr>
      <dsp:spPr>
        <a:xfrm>
          <a:off x="362026" y="2400606"/>
          <a:ext cx="1444305" cy="866583"/>
        </a:xfrm>
        <a:prstGeom prst="rect">
          <a:avLst/>
        </a:prstGeom>
        <a:solidFill>
          <a:schemeClr val="accent1">
            <a:shade val="80000"/>
            <a:hueOff val="299385"/>
            <a:satOff val="-5362"/>
            <a:lumOff val="2278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pt-BR" sz="900" kern="1200"/>
            <a:t>Incluir tecnologias evolutivas que suportam a tomada de decisões</a:t>
          </a:r>
        </a:p>
      </dsp:txBody>
      <dsp:txXfrm>
        <a:off x="362026" y="2400606"/>
        <a:ext cx="1444305" cy="866583"/>
      </dsp:txXfrm>
    </dsp:sp>
    <dsp:sp modelId="{4F25911B-D191-4406-9090-B9A6705F7762}">
      <dsp:nvSpPr>
        <dsp:cNvPr id="0" name=""/>
        <dsp:cNvSpPr/>
      </dsp:nvSpPr>
      <dsp:spPr>
        <a:xfrm>
          <a:off x="2138522" y="2400606"/>
          <a:ext cx="1444305" cy="866583"/>
        </a:xfrm>
        <a:prstGeom prst="rect">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pt-BR" sz="900" kern="1200"/>
            <a:t>Estabelecer estrutura para implementação, excecusão das práticas de gerenciamento de riscos</a:t>
          </a:r>
        </a:p>
      </dsp:txBody>
      <dsp:txXfrm>
        <a:off x="2138522" y="2400606"/>
        <a:ext cx="1444305" cy="8665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C7F901-3FB4-4861-81C8-2F862EBE9C03}">
      <dsp:nvSpPr>
        <dsp:cNvPr id="0" name=""/>
        <dsp:cNvSpPr/>
      </dsp:nvSpPr>
      <dsp:spPr>
        <a:xfrm>
          <a:off x="1399" y="0"/>
          <a:ext cx="1373041" cy="34480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t-BR" sz="1400" kern="1200">
              <a:latin typeface="+mn-lt"/>
              <a:cs typeface="Times New Roman" panose="02020603050405020304" pitchFamily="18" charset="0"/>
            </a:rPr>
            <a:t>Liderar com a proliferação de dados</a:t>
          </a:r>
        </a:p>
      </dsp:txBody>
      <dsp:txXfrm>
        <a:off x="1399" y="0"/>
        <a:ext cx="1373041" cy="1034415"/>
      </dsp:txXfrm>
    </dsp:sp>
    <dsp:sp modelId="{7EBCD252-9E27-4818-9C8A-FA34BD8DD5E5}">
      <dsp:nvSpPr>
        <dsp:cNvPr id="0" name=""/>
        <dsp:cNvSpPr/>
      </dsp:nvSpPr>
      <dsp:spPr>
        <a:xfrm>
          <a:off x="138703" y="1034415"/>
          <a:ext cx="1098433" cy="2241232"/>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pt-BR" sz="1000" kern="1200">
              <a:latin typeface="+mn-lt"/>
              <a:cs typeface="Times New Roman" panose="02020603050405020304" pitchFamily="18" charset="0"/>
            </a:rPr>
            <a:t>Ferramentas avançadas de análise e visualização de dados continuarão a evoluir e serão muito úteis para entender o risco e o seu impacto, positivo e negativo</a:t>
          </a:r>
        </a:p>
      </dsp:txBody>
      <dsp:txXfrm>
        <a:off x="170875" y="1066587"/>
        <a:ext cx="1034089" cy="2176888"/>
      </dsp:txXfrm>
    </dsp:sp>
    <dsp:sp modelId="{6EA30FB0-D096-41A0-82F6-52CE5F2CFBDF}">
      <dsp:nvSpPr>
        <dsp:cNvPr id="0" name=""/>
        <dsp:cNvSpPr/>
      </dsp:nvSpPr>
      <dsp:spPr>
        <a:xfrm>
          <a:off x="1477419" y="0"/>
          <a:ext cx="1373041" cy="34480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t-BR" sz="1400" kern="1200">
              <a:latin typeface="+mn-lt"/>
              <a:cs typeface="Times New Roman" panose="02020603050405020304" pitchFamily="18" charset="0"/>
            </a:rPr>
            <a:t>Alavancar inteligência artificial e automação</a:t>
          </a:r>
        </a:p>
      </dsp:txBody>
      <dsp:txXfrm>
        <a:off x="1477419" y="0"/>
        <a:ext cx="1373041" cy="1034415"/>
      </dsp:txXfrm>
    </dsp:sp>
    <dsp:sp modelId="{1598B76D-6A56-4970-81AD-BB6F33780D91}">
      <dsp:nvSpPr>
        <dsp:cNvPr id="0" name=""/>
        <dsp:cNvSpPr/>
      </dsp:nvSpPr>
      <dsp:spPr>
        <a:xfrm>
          <a:off x="1614723" y="1034415"/>
          <a:ext cx="1098433" cy="2241232"/>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pt-BR" sz="1000" kern="1200">
              <a:latin typeface="+mn-lt"/>
              <a:cs typeface="Times New Roman" panose="02020603050405020304" pitchFamily="18" charset="0"/>
            </a:rPr>
            <a:t>É importante que as práticas de gerenciamento de riscos corporativos considerem o impacto dessas e de futuras tecnologias e tirem proveito de suas capacidades</a:t>
          </a:r>
        </a:p>
      </dsp:txBody>
      <dsp:txXfrm>
        <a:off x="1646895" y="1066587"/>
        <a:ext cx="1034089" cy="2176888"/>
      </dsp:txXfrm>
    </dsp:sp>
    <dsp:sp modelId="{A1C1E7E8-401F-421E-9473-1B30F4F19119}">
      <dsp:nvSpPr>
        <dsp:cNvPr id="0" name=""/>
        <dsp:cNvSpPr/>
      </dsp:nvSpPr>
      <dsp:spPr>
        <a:xfrm>
          <a:off x="2953439" y="0"/>
          <a:ext cx="1373041" cy="34480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t-BR" sz="1400" kern="1200">
              <a:latin typeface="+mn-lt"/>
              <a:cs typeface="Times New Roman" panose="02020603050405020304" pitchFamily="18" charset="0"/>
            </a:rPr>
            <a:t>Administrar o custo do gerenciamento de riscos</a:t>
          </a:r>
        </a:p>
      </dsp:txBody>
      <dsp:txXfrm>
        <a:off x="2953439" y="0"/>
        <a:ext cx="1373041" cy="1034415"/>
      </dsp:txXfrm>
    </dsp:sp>
    <dsp:sp modelId="{DB1E75F2-10E5-4E3D-B9D5-EC29DA5828B9}">
      <dsp:nvSpPr>
        <dsp:cNvPr id="0" name=""/>
        <dsp:cNvSpPr/>
      </dsp:nvSpPr>
      <dsp:spPr>
        <a:xfrm>
          <a:off x="3090743" y="1034415"/>
          <a:ext cx="1098433" cy="2241232"/>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pt-BR" sz="1000" kern="1200">
              <a:latin typeface="+mn-lt"/>
              <a:cs typeface="Times New Roman" panose="02020603050405020304" pitchFamily="18" charset="0"/>
            </a:rPr>
            <a:t>Será cada vez mais importante que as atividades relacionadas a risco, conformidade, controle e governança sejam eficientemente coordenadas para proporcionar o maior benefício possível à organização</a:t>
          </a:r>
        </a:p>
      </dsp:txBody>
      <dsp:txXfrm>
        <a:off x="3122915" y="1066587"/>
        <a:ext cx="1034089" cy="2176888"/>
      </dsp:txXfrm>
    </dsp:sp>
    <dsp:sp modelId="{B8DA62B7-35B9-4B08-B7F3-2FAAEFEB2538}">
      <dsp:nvSpPr>
        <dsp:cNvPr id="0" name=""/>
        <dsp:cNvSpPr/>
      </dsp:nvSpPr>
      <dsp:spPr>
        <a:xfrm>
          <a:off x="4429458" y="0"/>
          <a:ext cx="1373041" cy="34480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t-BR" sz="1400" kern="1200">
              <a:latin typeface="+mn-lt"/>
              <a:cs typeface="Times New Roman" panose="02020603050405020304" pitchFamily="18" charset="0"/>
            </a:rPr>
            <a:t>Construir organizações mais fortes</a:t>
          </a:r>
        </a:p>
      </dsp:txBody>
      <dsp:txXfrm>
        <a:off x="4429458" y="0"/>
        <a:ext cx="1373041" cy="1034415"/>
      </dsp:txXfrm>
    </dsp:sp>
    <dsp:sp modelId="{61D39BBD-5E86-49DE-94A6-F2E690A4D88E}">
      <dsp:nvSpPr>
        <dsp:cNvPr id="0" name=""/>
        <dsp:cNvSpPr/>
      </dsp:nvSpPr>
      <dsp:spPr>
        <a:xfrm>
          <a:off x="4566763" y="1034415"/>
          <a:ext cx="1098433" cy="2241232"/>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pt-BR" sz="1000" kern="1200">
              <a:latin typeface="+mn-lt"/>
              <a:cs typeface="Times New Roman" panose="02020603050405020304" pitchFamily="18" charset="0"/>
            </a:rPr>
            <a:t>Ao conhecer os riscos que terão maior impacto, as organizações podem usar o gerenciamento de riscos corporativos para apoiá-las na criação de competência que lhes permitam atuar com proatividade, criando novas oportunidades</a:t>
          </a:r>
        </a:p>
      </dsp:txBody>
      <dsp:txXfrm>
        <a:off x="4598935" y="1066587"/>
        <a:ext cx="1034089" cy="217688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A109A2-B8AE-4E59-8543-B4B1ADAAFDC4}">
      <dsp:nvSpPr>
        <dsp:cNvPr id="0" name=""/>
        <dsp:cNvSpPr/>
      </dsp:nvSpPr>
      <dsp:spPr>
        <a:xfrm>
          <a:off x="-3692254" y="-571159"/>
          <a:ext cx="4431619" cy="4431619"/>
        </a:xfrm>
        <a:prstGeom prst="blockArc">
          <a:avLst>
            <a:gd name="adj1" fmla="val 18900000"/>
            <a:gd name="adj2" fmla="val 2700000"/>
            <a:gd name="adj3" fmla="val 487"/>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C2294F-9099-4F5E-82FA-ACA0E3A432B2}">
      <dsp:nvSpPr>
        <dsp:cNvPr id="0" name=""/>
        <dsp:cNvSpPr/>
      </dsp:nvSpPr>
      <dsp:spPr>
        <a:xfrm>
          <a:off x="604655" y="469909"/>
          <a:ext cx="4954563" cy="93968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45877" tIns="30480" rIns="30480" bIns="30480" numCol="1" spcCol="1270" anchor="t" anchorCtr="0">
          <a:noAutofit/>
        </a:bodyPr>
        <a:lstStyle/>
        <a:p>
          <a:pPr marL="0" lvl="0" indent="0" algn="l" defTabSz="533400">
            <a:lnSpc>
              <a:spcPct val="90000"/>
            </a:lnSpc>
            <a:spcBef>
              <a:spcPct val="0"/>
            </a:spcBef>
            <a:spcAft>
              <a:spcPct val="35000"/>
            </a:spcAft>
            <a:buNone/>
          </a:pPr>
          <a:r>
            <a:rPr lang="pt-PT" sz="1200" kern="1200">
              <a:latin typeface="+mn-lt"/>
              <a:cs typeface="Times New Roman" panose="02020603050405020304" pitchFamily="18" charset="0"/>
            </a:rPr>
            <a:t>Norma ABNT ISO 31000:2018</a:t>
          </a:r>
          <a:endParaRPr lang="pt-BR" sz="1200" kern="1200">
            <a:latin typeface="+mn-lt"/>
            <a:cs typeface="Times New Roman" panose="02020603050405020304" pitchFamily="18" charset="0"/>
          </a:endParaRPr>
        </a:p>
        <a:p>
          <a:pPr marL="114300" lvl="1" indent="-114300" algn="l" defTabSz="533400">
            <a:lnSpc>
              <a:spcPct val="90000"/>
            </a:lnSpc>
            <a:spcBef>
              <a:spcPct val="0"/>
            </a:spcBef>
            <a:spcAft>
              <a:spcPct val="15000"/>
            </a:spcAft>
            <a:buChar char="•"/>
          </a:pPr>
          <a:r>
            <a:rPr lang="pt-BR" sz="1200" kern="1200">
              <a:latin typeface="+mn-lt"/>
              <a:cs typeface="Times New Roman" panose="02020603050405020304" pitchFamily="18" charset="0"/>
            </a:rPr>
            <a:t>A gestão de riscos é parte </a:t>
          </a:r>
          <a:r>
            <a:rPr lang="pt-BR" sz="1200" u="sng" kern="1200">
              <a:latin typeface="+mn-lt"/>
              <a:cs typeface="Times New Roman" panose="02020603050405020304" pitchFamily="18" charset="0"/>
            </a:rPr>
            <a:t>integrante</a:t>
          </a:r>
          <a:r>
            <a:rPr lang="pt-BR" sz="1200" kern="1200">
              <a:latin typeface="+mn-lt"/>
              <a:cs typeface="Times New Roman" panose="02020603050405020304" pitchFamily="18" charset="0"/>
            </a:rPr>
            <a:t> de todas as atividades organizacionais.</a:t>
          </a:r>
        </a:p>
        <a:p>
          <a:pPr marL="114300" lvl="1" indent="-114300" algn="l" defTabSz="533400">
            <a:lnSpc>
              <a:spcPct val="90000"/>
            </a:lnSpc>
            <a:spcBef>
              <a:spcPct val="0"/>
            </a:spcBef>
            <a:spcAft>
              <a:spcPct val="15000"/>
            </a:spcAft>
            <a:buChar char="•"/>
          </a:pPr>
          <a:endParaRPr lang="pt-BR" sz="1200" kern="1200">
            <a:latin typeface="+mn-lt"/>
            <a:cs typeface="Times New Roman" panose="02020603050405020304" pitchFamily="18" charset="0"/>
          </a:endParaRPr>
        </a:p>
      </dsp:txBody>
      <dsp:txXfrm>
        <a:off x="604655" y="469909"/>
        <a:ext cx="4954563" cy="939687"/>
      </dsp:txXfrm>
    </dsp:sp>
    <dsp:sp modelId="{C0D34E53-489E-4A22-A2D9-7B584DF5F0DA}">
      <dsp:nvSpPr>
        <dsp:cNvPr id="0" name=""/>
        <dsp:cNvSpPr/>
      </dsp:nvSpPr>
      <dsp:spPr>
        <a:xfrm>
          <a:off x="17351" y="352448"/>
          <a:ext cx="1174609" cy="1174609"/>
        </a:xfrm>
        <a:prstGeom prst="ellipse">
          <a:avLst/>
        </a:prstGeom>
        <a:blipFill rotWithShape="0">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CAD66125-DCB1-4364-A63C-70A7560586D0}">
      <dsp:nvSpPr>
        <dsp:cNvPr id="0" name=""/>
        <dsp:cNvSpPr/>
      </dsp:nvSpPr>
      <dsp:spPr>
        <a:xfrm>
          <a:off x="604655" y="1879703"/>
          <a:ext cx="4954563" cy="93968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45877" tIns="30480" rIns="30480" bIns="30480" numCol="1" spcCol="1270" anchor="t" anchorCtr="0">
          <a:noAutofit/>
        </a:bodyPr>
        <a:lstStyle/>
        <a:p>
          <a:pPr marL="0" lvl="0" indent="0" algn="l" defTabSz="533400">
            <a:lnSpc>
              <a:spcPct val="90000"/>
            </a:lnSpc>
            <a:spcBef>
              <a:spcPct val="0"/>
            </a:spcBef>
            <a:spcAft>
              <a:spcPct val="35000"/>
            </a:spcAft>
            <a:buNone/>
          </a:pPr>
          <a:r>
            <a:rPr lang="pt-PT" sz="1200" kern="1200">
              <a:latin typeface="+mn-lt"/>
              <a:cs typeface="Times New Roman" panose="02020603050405020304" pitchFamily="18" charset="0"/>
            </a:rPr>
            <a:t>COSO ERM:2017 </a:t>
          </a:r>
          <a:endParaRPr lang="pt-BR" sz="1200" kern="1200">
            <a:latin typeface="+mn-lt"/>
            <a:cs typeface="Times New Roman" panose="02020603050405020304" pitchFamily="18" charset="0"/>
          </a:endParaRPr>
        </a:p>
        <a:p>
          <a:pPr marL="114300" lvl="1" indent="-114300" algn="l" defTabSz="533400">
            <a:lnSpc>
              <a:spcPct val="90000"/>
            </a:lnSpc>
            <a:spcBef>
              <a:spcPct val="0"/>
            </a:spcBef>
            <a:spcAft>
              <a:spcPct val="15000"/>
            </a:spcAft>
            <a:buChar char="•"/>
          </a:pPr>
          <a:r>
            <a:rPr lang="pt-PT" sz="1200" kern="1200">
              <a:latin typeface="+mn-lt"/>
              <a:cs typeface="Times New Roman" panose="02020603050405020304" pitchFamily="18" charset="0"/>
            </a:rPr>
            <a:t>A </a:t>
          </a:r>
          <a:r>
            <a:rPr lang="pt-PT" sz="1200" u="sng" kern="1200">
              <a:latin typeface="+mn-lt"/>
              <a:cs typeface="Times New Roman" panose="02020603050405020304" pitchFamily="18" charset="0"/>
            </a:rPr>
            <a:t>integração</a:t>
          </a:r>
          <a:r>
            <a:rPr lang="pt-PT" sz="1200" kern="1200">
              <a:latin typeface="+mn-lt"/>
              <a:cs typeface="Times New Roman" panose="02020603050405020304" pitchFamily="18" charset="0"/>
            </a:rPr>
            <a:t> permite que a organização tome decisões mais adequadas, com a rapidez e o potencial de interromper riscos isolados, buscando novas oportunidades.</a:t>
          </a:r>
          <a:endParaRPr lang="pt-BR" sz="1200" kern="1200">
            <a:latin typeface="+mn-lt"/>
            <a:cs typeface="Times New Roman" panose="02020603050405020304" pitchFamily="18" charset="0"/>
          </a:endParaRPr>
        </a:p>
        <a:p>
          <a:pPr marL="114300" lvl="1" indent="-114300" algn="l" defTabSz="622300">
            <a:lnSpc>
              <a:spcPct val="90000"/>
            </a:lnSpc>
            <a:spcBef>
              <a:spcPct val="0"/>
            </a:spcBef>
            <a:spcAft>
              <a:spcPct val="15000"/>
            </a:spcAft>
            <a:buChar char="•"/>
          </a:pPr>
          <a:endParaRPr lang="pt-BR" sz="1400" kern="1200">
            <a:latin typeface="Times New Roman" panose="02020603050405020304" pitchFamily="18" charset="0"/>
            <a:cs typeface="Times New Roman" panose="02020603050405020304" pitchFamily="18" charset="0"/>
          </a:endParaRPr>
        </a:p>
      </dsp:txBody>
      <dsp:txXfrm>
        <a:off x="604655" y="1879703"/>
        <a:ext cx="4954563" cy="939687"/>
      </dsp:txXfrm>
    </dsp:sp>
    <dsp:sp modelId="{3DC268DF-71E9-4E0D-B04D-B07764191AA1}">
      <dsp:nvSpPr>
        <dsp:cNvPr id="0" name=""/>
        <dsp:cNvSpPr/>
      </dsp:nvSpPr>
      <dsp:spPr>
        <a:xfrm>
          <a:off x="17351" y="1762242"/>
          <a:ext cx="1174609" cy="1174609"/>
        </a:xfrm>
        <a:prstGeom prst="ellipse">
          <a:avLst/>
        </a:prstGeom>
        <a:blipFill rotWithShape="0">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DE4778-45F0-4D19-8A0D-FACB26C7F219}">
      <dsp:nvSpPr>
        <dsp:cNvPr id="0" name=""/>
        <dsp:cNvSpPr/>
      </dsp:nvSpPr>
      <dsp:spPr>
        <a:xfrm>
          <a:off x="3857" y="29970"/>
          <a:ext cx="1238048" cy="651258"/>
        </a:xfrm>
        <a:prstGeom prst="roundRect">
          <a:avLst>
            <a:gd name="adj" fmla="val 10000"/>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t-BR" sz="1200" i="1" kern="1200">
              <a:latin typeface="Times New Roman" panose="02020603050405020304" pitchFamily="18" charset="0"/>
              <a:cs typeface="Times New Roman" panose="02020603050405020304" pitchFamily="18" charset="0"/>
            </a:rPr>
            <a:t>RISCO INERENTE</a:t>
          </a:r>
        </a:p>
      </dsp:txBody>
      <dsp:txXfrm>
        <a:off x="22932" y="49045"/>
        <a:ext cx="1199898" cy="613108"/>
      </dsp:txXfrm>
    </dsp:sp>
    <dsp:sp modelId="{70229998-AB11-4ED5-8140-FBE14C2BE42B}">
      <dsp:nvSpPr>
        <dsp:cNvPr id="0" name=""/>
        <dsp:cNvSpPr/>
      </dsp:nvSpPr>
      <dsp:spPr>
        <a:xfrm>
          <a:off x="1350342" y="221137"/>
          <a:ext cx="229886" cy="268924"/>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kern="1200"/>
        </a:p>
      </dsp:txBody>
      <dsp:txXfrm>
        <a:off x="1350342" y="274922"/>
        <a:ext cx="160920" cy="161354"/>
      </dsp:txXfrm>
    </dsp:sp>
    <dsp:sp modelId="{6D0F4C34-6A00-46C3-883C-3F059129E1E7}">
      <dsp:nvSpPr>
        <dsp:cNvPr id="0" name=""/>
        <dsp:cNvSpPr/>
      </dsp:nvSpPr>
      <dsp:spPr>
        <a:xfrm>
          <a:off x="1675654" y="29970"/>
          <a:ext cx="3864038" cy="651258"/>
        </a:xfrm>
        <a:prstGeom prst="roundRect">
          <a:avLst>
            <a:gd name="adj" fmla="val 10000"/>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t-BR" sz="1200" i="1" kern="1200">
              <a:latin typeface="Times New Roman" panose="02020603050405020304" pitchFamily="18" charset="0"/>
              <a:cs typeface="Times New Roman" panose="02020603050405020304" pitchFamily="18" charset="0"/>
            </a:rPr>
            <a:t>Multiplicação probabilidade e impacto, desconsiderando os controles existentes</a:t>
          </a:r>
        </a:p>
      </dsp:txBody>
      <dsp:txXfrm>
        <a:off x="1694729" y="49045"/>
        <a:ext cx="3825888" cy="61310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DE4778-45F0-4D19-8A0D-FACB26C7F219}">
      <dsp:nvSpPr>
        <dsp:cNvPr id="0" name=""/>
        <dsp:cNvSpPr/>
      </dsp:nvSpPr>
      <dsp:spPr>
        <a:xfrm>
          <a:off x="1151" y="0"/>
          <a:ext cx="1239258" cy="457200"/>
        </a:xfrm>
        <a:prstGeom prst="roundRect">
          <a:avLst>
            <a:gd name="adj" fmla="val 1000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t-PT" sz="1100" b="1" i="1" kern="1200"/>
            <a:t>Risco Residual (RR)</a:t>
          </a:r>
          <a:r>
            <a:rPr lang="pt-PT" sz="1100" i="1" kern="1200"/>
            <a:t> </a:t>
          </a:r>
          <a:endParaRPr lang="pt-BR" sz="1100" kern="1200">
            <a:latin typeface="Times New Roman" panose="02020603050405020304" pitchFamily="18" charset="0"/>
            <a:cs typeface="Times New Roman" panose="02020603050405020304" pitchFamily="18" charset="0"/>
          </a:endParaRPr>
        </a:p>
      </dsp:txBody>
      <dsp:txXfrm>
        <a:off x="14542" y="13391"/>
        <a:ext cx="1212476" cy="430418"/>
      </dsp:txXfrm>
    </dsp:sp>
    <dsp:sp modelId="{70229998-AB11-4ED5-8140-FBE14C2BE42B}">
      <dsp:nvSpPr>
        <dsp:cNvPr id="0" name=""/>
        <dsp:cNvSpPr/>
      </dsp:nvSpPr>
      <dsp:spPr>
        <a:xfrm>
          <a:off x="1348953" y="94006"/>
          <a:ext cx="230111" cy="269186"/>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kern="1200"/>
        </a:p>
      </dsp:txBody>
      <dsp:txXfrm>
        <a:off x="1348953" y="147843"/>
        <a:ext cx="161078" cy="161512"/>
      </dsp:txXfrm>
    </dsp:sp>
    <dsp:sp modelId="{6D0F4C34-6A00-46C3-883C-3F059129E1E7}">
      <dsp:nvSpPr>
        <dsp:cNvPr id="0" name=""/>
        <dsp:cNvSpPr/>
      </dsp:nvSpPr>
      <dsp:spPr>
        <a:xfrm>
          <a:off x="1674582" y="0"/>
          <a:ext cx="3867815" cy="457200"/>
        </a:xfrm>
        <a:prstGeom prst="roundRect">
          <a:avLst>
            <a:gd name="adj" fmla="val 10000"/>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t-PT" sz="1100" i="1" kern="1200"/>
            <a:t>Risco Inerente (RI) x FAC </a:t>
          </a:r>
          <a:endParaRPr lang="pt-BR" sz="1100" kern="1200"/>
        </a:p>
      </dsp:txBody>
      <dsp:txXfrm>
        <a:off x="1687973" y="13391"/>
        <a:ext cx="3841033" cy="43041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6DE808-394A-4D08-A5CA-5CA1B1EDE564}">
      <dsp:nvSpPr>
        <dsp:cNvPr id="0" name=""/>
        <dsp:cNvSpPr/>
      </dsp:nvSpPr>
      <dsp:spPr>
        <a:xfrm>
          <a:off x="432434" y="0"/>
          <a:ext cx="4900930" cy="12001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48C6194-8465-4EA8-8843-FDD2145C94B6}">
      <dsp:nvSpPr>
        <dsp:cNvPr id="0" name=""/>
        <dsp:cNvSpPr/>
      </dsp:nvSpPr>
      <dsp:spPr>
        <a:xfrm>
          <a:off x="1970" y="360044"/>
          <a:ext cx="1280413" cy="480060"/>
        </a:xfrm>
        <a:prstGeom prst="round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pt-BR" sz="1100" kern="1200"/>
            <a:t>Risco Extremo</a:t>
          </a:r>
        </a:p>
        <a:p>
          <a:pPr marL="114300" lvl="1" indent="-114300" algn="l" defTabSz="533400">
            <a:lnSpc>
              <a:spcPct val="90000"/>
            </a:lnSpc>
            <a:spcBef>
              <a:spcPct val="0"/>
            </a:spcBef>
            <a:spcAft>
              <a:spcPct val="15000"/>
            </a:spcAft>
            <a:buChar char="•"/>
          </a:pPr>
          <a:r>
            <a:rPr lang="pt-BR" sz="1200" kern="1200"/>
            <a:t>Evitar</a:t>
          </a:r>
        </a:p>
      </dsp:txBody>
      <dsp:txXfrm>
        <a:off x="25405" y="383479"/>
        <a:ext cx="1233543" cy="433190"/>
      </dsp:txXfrm>
    </dsp:sp>
    <dsp:sp modelId="{B5E0EDB3-352E-43D5-8B6C-BE53E06DFB9E}">
      <dsp:nvSpPr>
        <dsp:cNvPr id="0" name=""/>
        <dsp:cNvSpPr/>
      </dsp:nvSpPr>
      <dsp:spPr>
        <a:xfrm>
          <a:off x="1495785" y="360044"/>
          <a:ext cx="1280413" cy="480060"/>
        </a:xfrm>
        <a:prstGeom prst="roundRect">
          <a:avLst/>
        </a:prstGeom>
        <a:solidFill>
          <a:schemeClr val="accent1">
            <a:shade val="80000"/>
            <a:hueOff val="116428"/>
            <a:satOff val="-2085"/>
            <a:lumOff val="88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pt-BR" sz="1100" kern="1200"/>
            <a:t>Risco Alto</a:t>
          </a:r>
        </a:p>
        <a:p>
          <a:pPr marL="114300" lvl="1" indent="-114300" algn="l" defTabSz="533400">
            <a:lnSpc>
              <a:spcPct val="90000"/>
            </a:lnSpc>
            <a:spcBef>
              <a:spcPct val="0"/>
            </a:spcBef>
            <a:spcAft>
              <a:spcPct val="15000"/>
            </a:spcAft>
            <a:buChar char="•"/>
          </a:pPr>
          <a:r>
            <a:rPr lang="pt-BR" sz="1200" kern="1200"/>
            <a:t>Mitigar</a:t>
          </a:r>
        </a:p>
      </dsp:txBody>
      <dsp:txXfrm>
        <a:off x="1519220" y="383479"/>
        <a:ext cx="1233543" cy="433190"/>
      </dsp:txXfrm>
    </dsp:sp>
    <dsp:sp modelId="{1C23843F-A37C-46AA-B616-0BF0CABCEC0F}">
      <dsp:nvSpPr>
        <dsp:cNvPr id="0" name=""/>
        <dsp:cNvSpPr/>
      </dsp:nvSpPr>
      <dsp:spPr>
        <a:xfrm>
          <a:off x="2989601" y="360044"/>
          <a:ext cx="1280413" cy="480060"/>
        </a:xfrm>
        <a:prstGeom prst="roundRect">
          <a:avLst/>
        </a:prstGeom>
        <a:solidFill>
          <a:schemeClr val="accent1">
            <a:shade val="80000"/>
            <a:hueOff val="232855"/>
            <a:satOff val="-4171"/>
            <a:lumOff val="1772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pt-BR" sz="1100" kern="1200"/>
            <a:t>Risco Médio</a:t>
          </a:r>
        </a:p>
        <a:p>
          <a:pPr marL="57150" lvl="1" indent="-57150" algn="l" defTabSz="511175">
            <a:lnSpc>
              <a:spcPct val="90000"/>
            </a:lnSpc>
            <a:spcBef>
              <a:spcPct val="0"/>
            </a:spcBef>
            <a:spcAft>
              <a:spcPct val="15000"/>
            </a:spcAft>
            <a:buChar char="•"/>
          </a:pPr>
          <a:r>
            <a:rPr lang="pt-BR" sz="1150" kern="1200"/>
            <a:t>Compartilhar</a:t>
          </a:r>
        </a:p>
      </dsp:txBody>
      <dsp:txXfrm>
        <a:off x="3013036" y="383479"/>
        <a:ext cx="1233543" cy="433190"/>
      </dsp:txXfrm>
    </dsp:sp>
    <dsp:sp modelId="{70C1B5AE-6ED7-4C6A-90B0-5C231B7D9701}">
      <dsp:nvSpPr>
        <dsp:cNvPr id="0" name=""/>
        <dsp:cNvSpPr/>
      </dsp:nvSpPr>
      <dsp:spPr>
        <a:xfrm>
          <a:off x="4483416" y="360044"/>
          <a:ext cx="1280413" cy="480060"/>
        </a:xfrm>
        <a:prstGeom prst="roundRect">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pt-BR" sz="1100" kern="1200"/>
            <a:t>Risco Baixo</a:t>
          </a:r>
        </a:p>
        <a:p>
          <a:pPr marL="114300" lvl="1" indent="-114300" algn="l" defTabSz="533400">
            <a:lnSpc>
              <a:spcPct val="90000"/>
            </a:lnSpc>
            <a:spcBef>
              <a:spcPct val="0"/>
            </a:spcBef>
            <a:spcAft>
              <a:spcPct val="15000"/>
            </a:spcAft>
            <a:buChar char="•"/>
          </a:pPr>
          <a:r>
            <a:rPr lang="pt-BR" sz="1200" kern="1200"/>
            <a:t>Aceitar</a:t>
          </a:r>
        </a:p>
      </dsp:txBody>
      <dsp:txXfrm>
        <a:off x="4506851" y="383479"/>
        <a:ext cx="1233543" cy="43319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BEC71C-4716-4468-ABE6-7ED0965C8FBF}">
      <dsp:nvSpPr>
        <dsp:cNvPr id="0" name=""/>
        <dsp:cNvSpPr/>
      </dsp:nvSpPr>
      <dsp:spPr>
        <a:xfrm>
          <a:off x="306387" y="0"/>
          <a:ext cx="3317875" cy="1327150"/>
        </a:xfrm>
        <a:prstGeom prst="leftRightRibb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2FCEE6-9119-4366-88F5-3067157806C1}">
      <dsp:nvSpPr>
        <dsp:cNvPr id="0" name=""/>
        <dsp:cNvSpPr/>
      </dsp:nvSpPr>
      <dsp:spPr>
        <a:xfrm>
          <a:off x="704532" y="232251"/>
          <a:ext cx="1094898" cy="65030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9784" rIns="0" bIns="53340" numCol="1" spcCol="1270" anchor="ctr" anchorCtr="0">
          <a:noAutofit/>
        </a:bodyPr>
        <a:lstStyle/>
        <a:p>
          <a:pPr marL="0" lvl="0" indent="0" algn="ctr" defTabSz="622300">
            <a:lnSpc>
              <a:spcPct val="90000"/>
            </a:lnSpc>
            <a:spcBef>
              <a:spcPct val="0"/>
            </a:spcBef>
            <a:spcAft>
              <a:spcPct val="35000"/>
            </a:spcAft>
            <a:buNone/>
          </a:pPr>
          <a:r>
            <a:rPr lang="pt-BR" sz="1400" kern="1200"/>
            <a:t>(2) Sim, existe</a:t>
          </a:r>
        </a:p>
      </dsp:txBody>
      <dsp:txXfrm>
        <a:off x="704532" y="232251"/>
        <a:ext cx="1094898" cy="650303"/>
      </dsp:txXfrm>
    </dsp:sp>
    <dsp:sp modelId="{04C13282-8EA3-47A0-8566-02645B4F94BA}">
      <dsp:nvSpPr>
        <dsp:cNvPr id="0" name=""/>
        <dsp:cNvSpPr/>
      </dsp:nvSpPr>
      <dsp:spPr>
        <a:xfrm>
          <a:off x="1965325" y="444595"/>
          <a:ext cx="1293971" cy="65030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9784" rIns="0" bIns="53340" numCol="1" spcCol="1270" anchor="ctr" anchorCtr="0">
          <a:noAutofit/>
        </a:bodyPr>
        <a:lstStyle/>
        <a:p>
          <a:pPr marL="0" lvl="0" indent="0" algn="ctr" defTabSz="622300">
            <a:lnSpc>
              <a:spcPct val="90000"/>
            </a:lnSpc>
            <a:spcBef>
              <a:spcPct val="0"/>
            </a:spcBef>
            <a:spcAft>
              <a:spcPct val="35000"/>
            </a:spcAft>
            <a:buNone/>
          </a:pPr>
          <a:r>
            <a:rPr lang="pt-BR" sz="1400" kern="1200"/>
            <a:t>(1) Não Existe</a:t>
          </a:r>
        </a:p>
      </dsp:txBody>
      <dsp:txXfrm>
        <a:off x="1965325" y="444595"/>
        <a:ext cx="1293971" cy="65030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3F2C2E-4614-458F-A95F-8BECB13755F7}">
      <dsp:nvSpPr>
        <dsp:cNvPr id="0" name=""/>
        <dsp:cNvSpPr/>
      </dsp:nvSpPr>
      <dsp:spPr>
        <a:xfrm>
          <a:off x="0" y="94753"/>
          <a:ext cx="1510109" cy="90606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buNone/>
          </a:pPr>
          <a:r>
            <a:rPr lang="pt-PT" sz="1200" kern="1200">
              <a:latin typeface="+mn-lt"/>
              <a:cs typeface="Times New Roman" panose="02020603050405020304" pitchFamily="18" charset="0"/>
            </a:rPr>
            <a:t>Relevância Estratégica do Processo</a:t>
          </a:r>
        </a:p>
        <a:p>
          <a:pPr marL="0" lvl="0" indent="0" algn="ctr" defTabSz="533400">
            <a:lnSpc>
              <a:spcPct val="100000"/>
            </a:lnSpc>
            <a:spcBef>
              <a:spcPct val="0"/>
            </a:spcBef>
            <a:spcAft>
              <a:spcPts val="0"/>
            </a:spcAft>
            <a:buNone/>
          </a:pPr>
          <a:r>
            <a:rPr lang="pt-BR" sz="1200" kern="1200">
              <a:latin typeface="+mn-lt"/>
              <a:cs typeface="Times New Roman" panose="02020603050405020304" pitchFamily="18" charset="0"/>
            </a:rPr>
            <a:t>(41%)</a:t>
          </a:r>
        </a:p>
      </dsp:txBody>
      <dsp:txXfrm>
        <a:off x="0" y="94753"/>
        <a:ext cx="1510109" cy="906065"/>
      </dsp:txXfrm>
    </dsp:sp>
    <dsp:sp modelId="{72D9C948-6A8E-4CCB-8F29-9EA13B23B069}">
      <dsp:nvSpPr>
        <dsp:cNvPr id="0" name=""/>
        <dsp:cNvSpPr/>
      </dsp:nvSpPr>
      <dsp:spPr>
        <a:xfrm>
          <a:off x="1661120" y="94753"/>
          <a:ext cx="1510109" cy="90606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buNone/>
          </a:pPr>
          <a:r>
            <a:rPr lang="pt-BR" sz="1200" kern="1200">
              <a:latin typeface="+mn-lt"/>
              <a:cs typeface="Times New Roman" panose="02020603050405020304" pitchFamily="18" charset="0"/>
            </a:rPr>
            <a:t>Demandas TCU/CGU/MP</a:t>
          </a:r>
        </a:p>
        <a:p>
          <a:pPr marL="0" lvl="0" indent="0" algn="ctr" defTabSz="533400">
            <a:lnSpc>
              <a:spcPct val="100000"/>
            </a:lnSpc>
            <a:spcBef>
              <a:spcPct val="0"/>
            </a:spcBef>
            <a:spcAft>
              <a:spcPts val="0"/>
            </a:spcAft>
            <a:buNone/>
          </a:pPr>
          <a:r>
            <a:rPr lang="pt-BR" sz="1200" kern="1200">
              <a:latin typeface="+mn-lt"/>
              <a:cs typeface="Times New Roman" panose="02020603050405020304" pitchFamily="18" charset="0"/>
            </a:rPr>
            <a:t>(27%)</a:t>
          </a:r>
        </a:p>
      </dsp:txBody>
      <dsp:txXfrm>
        <a:off x="1661120" y="94753"/>
        <a:ext cx="1510109" cy="906065"/>
      </dsp:txXfrm>
    </dsp:sp>
    <dsp:sp modelId="{B59797EC-1B2E-44D9-8EA3-DDA4169FF729}">
      <dsp:nvSpPr>
        <dsp:cNvPr id="0" name=""/>
        <dsp:cNvSpPr/>
      </dsp:nvSpPr>
      <dsp:spPr>
        <a:xfrm>
          <a:off x="3322240" y="94753"/>
          <a:ext cx="1510109" cy="90606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buNone/>
          </a:pPr>
          <a:r>
            <a:rPr lang="pt-BR" sz="1200" kern="1200">
              <a:latin typeface="+mn-lt"/>
              <a:cs typeface="Times New Roman" panose="02020603050405020304" pitchFamily="18" charset="0"/>
            </a:rPr>
            <a:t>Demanda Judicial em Saúde (17%)</a:t>
          </a:r>
        </a:p>
      </dsp:txBody>
      <dsp:txXfrm>
        <a:off x="3322240" y="94753"/>
        <a:ext cx="1510109" cy="906065"/>
      </dsp:txXfrm>
    </dsp:sp>
    <dsp:sp modelId="{03EAEE2A-CD6D-44B8-B48D-57E3AD195F09}">
      <dsp:nvSpPr>
        <dsp:cNvPr id="0" name=""/>
        <dsp:cNvSpPr/>
      </dsp:nvSpPr>
      <dsp:spPr>
        <a:xfrm>
          <a:off x="0" y="1151830"/>
          <a:ext cx="1510109" cy="90606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buNone/>
          </a:pPr>
          <a:r>
            <a:rPr lang="pt-BR" sz="1200" kern="1200">
              <a:latin typeface="+mn-lt"/>
              <a:cs typeface="Times New Roman" panose="02020603050405020304" pitchFamily="18" charset="0"/>
            </a:rPr>
            <a:t>Recursos Humanos (2%)</a:t>
          </a:r>
        </a:p>
      </dsp:txBody>
      <dsp:txXfrm>
        <a:off x="0" y="1151830"/>
        <a:ext cx="1510109" cy="906065"/>
      </dsp:txXfrm>
    </dsp:sp>
    <dsp:sp modelId="{60D94C37-E565-4069-B074-BB1723F7B936}">
      <dsp:nvSpPr>
        <dsp:cNvPr id="0" name=""/>
        <dsp:cNvSpPr/>
      </dsp:nvSpPr>
      <dsp:spPr>
        <a:xfrm>
          <a:off x="1661120" y="1151830"/>
          <a:ext cx="1510109" cy="90606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buNone/>
          </a:pPr>
          <a:r>
            <a:rPr lang="pt-PT" sz="1200" kern="1200">
              <a:latin typeface="+mn-lt"/>
              <a:cs typeface="Times New Roman" panose="02020603050405020304" pitchFamily="18" charset="0"/>
            </a:rPr>
            <a:t>Recursos Tecnológicos (4%)</a:t>
          </a:r>
          <a:endParaRPr lang="pt-BR" sz="1200" kern="1200">
            <a:latin typeface="+mn-lt"/>
            <a:cs typeface="Times New Roman" panose="02020603050405020304" pitchFamily="18" charset="0"/>
          </a:endParaRPr>
        </a:p>
      </dsp:txBody>
      <dsp:txXfrm>
        <a:off x="1661120" y="1151830"/>
        <a:ext cx="1510109" cy="906065"/>
      </dsp:txXfrm>
    </dsp:sp>
    <dsp:sp modelId="{1DD907AC-282F-4C81-B783-4F1AE380C592}">
      <dsp:nvSpPr>
        <dsp:cNvPr id="0" name=""/>
        <dsp:cNvSpPr/>
      </dsp:nvSpPr>
      <dsp:spPr>
        <a:xfrm>
          <a:off x="3322240" y="1151830"/>
          <a:ext cx="1510109" cy="90606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buNone/>
          </a:pPr>
          <a:r>
            <a:rPr lang="pt-PT" sz="1200" kern="1200">
              <a:latin typeface="+mn-lt"/>
              <a:cs typeface="Times New Roman" panose="02020603050405020304" pitchFamily="18" charset="0"/>
            </a:rPr>
            <a:t>Estrutura Organizacional (9%)</a:t>
          </a:r>
          <a:endParaRPr lang="pt-BR" sz="1200" kern="1200">
            <a:latin typeface="+mn-lt"/>
            <a:cs typeface="Times New Roman" panose="02020603050405020304" pitchFamily="18" charset="0"/>
          </a:endParaRPr>
        </a:p>
      </dsp:txBody>
      <dsp:txXfrm>
        <a:off x="3322240" y="1151830"/>
        <a:ext cx="1510109" cy="90606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DD6543-AF17-4ED0-96FF-D12D339C41B9}">
      <dsp:nvSpPr>
        <dsp:cNvPr id="0" name=""/>
        <dsp:cNvSpPr/>
      </dsp:nvSpPr>
      <dsp:spPr>
        <a:xfrm rot="16200000">
          <a:off x="-7667" y="8247"/>
          <a:ext cx="1524000" cy="1507504"/>
        </a:xfrm>
        <a:prstGeom prst="flowChartManualOperation">
          <a:avLst/>
        </a:prstGeom>
        <a:solidFill>
          <a:schemeClr val="accent6">
            <a:alpha val="9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00" tIns="0" rIns="318058" bIns="0" numCol="1" spcCol="1270" anchor="ctr" anchorCtr="0">
          <a:noAutofit/>
        </a:bodyPr>
        <a:lstStyle/>
        <a:p>
          <a:pPr marL="0" lvl="0" indent="0" algn="ctr" defTabSz="2222500">
            <a:lnSpc>
              <a:spcPct val="90000"/>
            </a:lnSpc>
            <a:spcBef>
              <a:spcPct val="0"/>
            </a:spcBef>
            <a:spcAft>
              <a:spcPct val="35000"/>
            </a:spcAft>
            <a:buNone/>
          </a:pPr>
          <a:r>
            <a:rPr lang="pt-BR" sz="5000" kern="1200"/>
            <a:t>PA</a:t>
          </a:r>
        </a:p>
      </dsp:txBody>
      <dsp:txXfrm rot="5400000">
        <a:off x="581" y="304799"/>
        <a:ext cx="1507504" cy="914400"/>
      </dsp:txXfrm>
    </dsp:sp>
    <dsp:sp modelId="{EB48026F-0334-46ED-907C-F5FD060A8553}">
      <dsp:nvSpPr>
        <dsp:cNvPr id="0" name=""/>
        <dsp:cNvSpPr/>
      </dsp:nvSpPr>
      <dsp:spPr>
        <a:xfrm rot="16200000">
          <a:off x="1612900" y="8247"/>
          <a:ext cx="1524000" cy="1507504"/>
        </a:xfrm>
        <a:prstGeom prst="flowChartManualOperation">
          <a:avLst/>
        </a:prstGeom>
        <a:solidFill>
          <a:schemeClr val="accent6">
            <a:alpha val="90000"/>
            <a:hueOff val="0"/>
            <a:satOff val="0"/>
            <a:lumOff val="0"/>
            <a:alphaOff val="-2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00" tIns="0" rIns="318058" bIns="0" numCol="1" spcCol="1270" anchor="ctr" anchorCtr="0">
          <a:noAutofit/>
        </a:bodyPr>
        <a:lstStyle/>
        <a:p>
          <a:pPr marL="0" lvl="0" indent="0" algn="ctr" defTabSz="2222500">
            <a:lnSpc>
              <a:spcPct val="90000"/>
            </a:lnSpc>
            <a:spcBef>
              <a:spcPct val="0"/>
            </a:spcBef>
            <a:spcAft>
              <a:spcPct val="35000"/>
            </a:spcAft>
            <a:buNone/>
          </a:pPr>
          <a:r>
            <a:rPr lang="pt-BR" sz="5000" kern="1200"/>
            <a:t>PM</a:t>
          </a:r>
        </a:p>
      </dsp:txBody>
      <dsp:txXfrm rot="5400000">
        <a:off x="1621148" y="304799"/>
        <a:ext cx="1507504" cy="914400"/>
      </dsp:txXfrm>
    </dsp:sp>
    <dsp:sp modelId="{9CD682A9-1EF9-4A52-B6FB-C9C868A43D7D}">
      <dsp:nvSpPr>
        <dsp:cNvPr id="0" name=""/>
        <dsp:cNvSpPr/>
      </dsp:nvSpPr>
      <dsp:spPr>
        <a:xfrm rot="16200000">
          <a:off x="3233467" y="8247"/>
          <a:ext cx="1524000" cy="1507504"/>
        </a:xfrm>
        <a:prstGeom prst="flowChartManualOperation">
          <a:avLst/>
        </a:prstGeom>
        <a:solidFill>
          <a:schemeClr val="accent6">
            <a:alpha val="90000"/>
            <a:hueOff val="0"/>
            <a:satOff val="0"/>
            <a:lumOff val="0"/>
            <a:alpha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00" tIns="0" rIns="318058" bIns="0" numCol="1" spcCol="1270" anchor="ctr" anchorCtr="0">
          <a:noAutofit/>
        </a:bodyPr>
        <a:lstStyle/>
        <a:p>
          <a:pPr marL="0" lvl="0" indent="0" algn="ctr" defTabSz="2222500">
            <a:lnSpc>
              <a:spcPct val="90000"/>
            </a:lnSpc>
            <a:spcBef>
              <a:spcPct val="0"/>
            </a:spcBef>
            <a:spcAft>
              <a:spcPct val="35000"/>
            </a:spcAft>
            <a:buNone/>
          </a:pPr>
          <a:r>
            <a:rPr lang="pt-BR" sz="5000" kern="1200"/>
            <a:t>PB</a:t>
          </a:r>
        </a:p>
      </dsp:txBody>
      <dsp:txXfrm rot="5400000">
        <a:off x="3241715" y="304799"/>
        <a:ext cx="1507504" cy="91440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96A28-664F-4404-9E8C-5B339AE80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TotalTime>
  <Pages>45</Pages>
  <Words>9412</Words>
  <Characters>50825</Characters>
  <Application>Microsoft Office Word</Application>
  <DocSecurity>0</DocSecurity>
  <Lines>423</Lines>
  <Paragraphs>120</Paragraphs>
  <ScaleCrop>false</ScaleCrop>
  <HeadingPairs>
    <vt:vector size="4" baseType="variant">
      <vt:variant>
        <vt:lpstr>Título</vt:lpstr>
      </vt:variant>
      <vt:variant>
        <vt:i4>1</vt:i4>
      </vt:variant>
      <vt:variant>
        <vt:lpstr>Títulos</vt:lpstr>
      </vt:variant>
      <vt:variant>
        <vt:i4>39</vt:i4>
      </vt:variant>
    </vt:vector>
  </HeadingPairs>
  <TitlesOfParts>
    <vt:vector size="40" baseType="lpstr">
      <vt:lpstr/>
      <vt:lpstr>INTRODUÇÃO</vt:lpstr>
      <vt:lpstr>OBJETIVOS DA GESTÃO DE RISCOS NO MINISTÉRIO DA SAÚDE</vt:lpstr>
      <vt:lpstr>FUNDAMENTOS DA GESTÃO DE RISCOS</vt:lpstr>
      <vt:lpstr>3.1 Norma ABNT NBR ISO 31000:2018</vt:lpstr>
      <vt:lpstr>3.2 COSO ERM 2017</vt:lpstr>
      <vt:lpstr/>
      <vt:lpstr>3.3 Linhas de Defesa</vt:lpstr>
      <vt:lpstr>ESTRUTURA DE GOVERNANÇA DE GESTÃO DE RISCOS NO MS</vt:lpstr>
      <vt:lpstr>Comitê Interno de Governança (CIG)</vt:lpstr>
      <vt:lpstr/>
      <vt:lpstr>Comitê de Gestão de Riscos (CGR)</vt:lpstr>
      <vt:lpstr>Unidade de Gestão de Riscos e Integridade (UGRI) </vt:lpstr>
      <vt:lpstr>Gestor de Processo (GP) </vt:lpstr>
      <vt:lpstr>Diretoria de Integridade (DINTEG)</vt:lpstr>
      <vt:lpstr>Departamento Nacional de Audiroria do SUS (DENASUS)</vt:lpstr>
      <vt:lpstr>MÉTODO DE PRIORIZAÇÃO DE PROCESSOS (MPP)</vt:lpstr>
      <vt:lpstr>PLANO DE GESTÃO DE RISCOS</vt:lpstr>
      <vt:lpstr/>
      <vt:lpstr>PROCESSO DE GERENCIAMENTO DE RISCOS</vt:lpstr>
      <vt:lpstr>Entendimento do Contexto</vt:lpstr>
      <vt:lpstr/>
      <vt:lpstr>Identificação, Análise e Avaliação dos Riscos</vt:lpstr>
      <vt:lpstr>Resposta aos Riscos</vt:lpstr>
      <vt:lpstr>Monitoramento e Análise Crítica</vt:lpstr>
      <vt:lpstr>Relato e Comunicação</vt:lpstr>
      <vt:lpstr>REFERÊNCIAS BIBLIOGRÁFICAS</vt:lpstr>
      <vt:lpstr>GLOSSÁRIO</vt:lpstr>
      <vt:lpstr/>
      <vt:lpstr>APÊNDICE 1 - Método de Priorização de Processos</vt:lpstr>
      <vt:lpstr/>
      <vt:lpstr>/////////////////////Introdução</vt:lpstr>
      <vt:lpstr>Avaliação Quantitativa - Orçamento</vt:lpstr>
      <vt:lpstr>Avaliação Qualitativa - Fatores de Avaliação</vt:lpstr>
      <vt:lpstr>    Classificação Final (Avaliação Quantitativa x Qualitativa)</vt:lpstr>
      <vt:lpstr>Processos Priorizados x Prazos </vt:lpstr>
      <vt:lpstr>Aplicação do Método de Priorização de Processos</vt:lpstr>
      <vt:lpstr>Atribuição dos Pesos  </vt:lpstr>
      <vt:lpstr>Aplicação do Método de Priorização de Processos</vt:lpstr>
      <vt:lpstr>Referências Bibliográficas</vt:lpstr>
    </vt:vector>
  </TitlesOfParts>
  <Company/>
  <LinksUpToDate>false</LinksUpToDate>
  <CharactersWithSpaces>60117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Abner Vinhote</dc:creator>
  <cp:keywords/>
  <dc:description/>
  <cp:lastModifiedBy>Vera Melo</cp:lastModifiedBy>
  <cp:revision>147</cp:revision>
  <cp:lastPrinted>2021-05-27T13:22:00Z</cp:lastPrinted>
  <dcterms:created xsi:type="dcterms:W3CDTF">2021-06-11T13:42:00Z</dcterms:created>
  <dcterms:modified xsi:type="dcterms:W3CDTF">2021-06-14T17:25:00Z</dcterms:modified>
</cp:coreProperties>
</file>